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71EA" w:rsidRPr="00E96893" w:rsidRDefault="00FC71EA" w:rsidP="009321AC">
      <w:pPr>
        <w:pStyle w:val="FG11-titulo1"/>
        <w:spacing w:line="360" w:lineRule="auto"/>
        <w:rPr>
          <w:b w:val="0"/>
          <w:szCs w:val="28"/>
        </w:rPr>
      </w:pPr>
      <w:bookmarkStart w:id="0" w:name="_GoBack"/>
      <w:bookmarkEnd w:id="0"/>
      <w:r>
        <w:rPr>
          <w:b w:val="0"/>
          <w:szCs w:val="28"/>
        </w:rPr>
        <w:t>A natureza objetiva da qualificadora do feminicídio e sua quesitação no tribunal do júri</w:t>
      </w:r>
    </w:p>
    <w:p w:rsidR="00FC71EA" w:rsidRDefault="00FC71EA" w:rsidP="009321AC">
      <w:pPr>
        <w:pStyle w:val="FG11-autoria"/>
        <w:spacing w:line="360" w:lineRule="auto"/>
        <w:rPr>
          <w:szCs w:val="24"/>
        </w:rPr>
      </w:pPr>
    </w:p>
    <w:p w:rsidR="00FC71EA" w:rsidRDefault="00FC71EA" w:rsidP="009321AC">
      <w:pPr>
        <w:pStyle w:val="FG11-autoria"/>
        <w:spacing w:line="360" w:lineRule="auto"/>
      </w:pPr>
      <w:r>
        <w:t>Gabriela Zoratti Buoro</w:t>
      </w:r>
      <w:r>
        <w:rPr>
          <w:rStyle w:val="Caracteresdenotaderodap"/>
        </w:rPr>
        <w:footnoteReference w:id="1"/>
      </w:r>
    </w:p>
    <w:p w:rsidR="00FC71EA" w:rsidRDefault="00FC71EA" w:rsidP="009321AC">
      <w:pPr>
        <w:pStyle w:val="FG11-autoria"/>
        <w:spacing w:line="360" w:lineRule="auto"/>
      </w:pPr>
      <w:r>
        <w:t>Gustavo Henrique Cordeiro</w:t>
      </w:r>
      <w:r>
        <w:rPr>
          <w:rStyle w:val="Caracteresdenotaderodap"/>
        </w:rPr>
        <w:footnoteReference w:id="2"/>
      </w:r>
    </w:p>
    <w:p w:rsidR="00FC71EA" w:rsidRPr="00F979DF" w:rsidRDefault="00FC71EA" w:rsidP="009321AC">
      <w:pPr>
        <w:pStyle w:val="FG11-autoria"/>
        <w:spacing w:line="360" w:lineRule="auto"/>
        <w:rPr>
          <w:szCs w:val="24"/>
        </w:rPr>
      </w:pPr>
      <w:r>
        <w:rPr>
          <w:szCs w:val="24"/>
        </w:rPr>
        <w:t>Natureza do Trabalho³</w:t>
      </w:r>
    </w:p>
    <w:p w:rsidR="00FC71EA" w:rsidRDefault="00FC71EA" w:rsidP="009321AC">
      <w:pPr>
        <w:pStyle w:val="FG11-autoria"/>
        <w:spacing w:line="360" w:lineRule="auto"/>
      </w:pPr>
    </w:p>
    <w:p w:rsidR="00FC71EA" w:rsidRDefault="00FC71EA" w:rsidP="009321AC">
      <w:pPr>
        <w:pStyle w:val="FG9autor"/>
        <w:spacing w:line="360" w:lineRule="auto"/>
        <w:jc w:val="left"/>
      </w:pPr>
      <w:r>
        <w:t>RESUMO</w:t>
      </w:r>
    </w:p>
    <w:p w:rsidR="00FC71EA" w:rsidRPr="00E56423" w:rsidRDefault="00FC71EA" w:rsidP="009321AC">
      <w:pPr>
        <w:pStyle w:val="FG11-resumo"/>
        <w:spacing w:line="360" w:lineRule="auto"/>
        <w:rPr>
          <w:szCs w:val="24"/>
        </w:rPr>
      </w:pPr>
    </w:p>
    <w:p w:rsidR="00FC71EA" w:rsidRPr="00E96893" w:rsidRDefault="00FC71EA" w:rsidP="00DD07CC">
      <w:pPr>
        <w:spacing w:line="240" w:lineRule="auto"/>
        <w:jc w:val="both"/>
        <w:rPr>
          <w:rFonts w:ascii="Times New Roman" w:hAnsi="Times New Roman"/>
          <w:sz w:val="24"/>
          <w:szCs w:val="24"/>
        </w:rPr>
      </w:pPr>
      <w:r w:rsidRPr="00E56423">
        <w:rPr>
          <w:rFonts w:ascii="Times New Roman" w:hAnsi="Times New Roman"/>
          <w:sz w:val="24"/>
          <w:szCs w:val="24"/>
        </w:rPr>
        <w:t xml:space="preserve">O presente </w:t>
      </w:r>
      <w:r>
        <w:rPr>
          <w:rFonts w:ascii="Times New Roman" w:hAnsi="Times New Roman"/>
          <w:sz w:val="24"/>
          <w:szCs w:val="24"/>
        </w:rPr>
        <w:t>artigo</w:t>
      </w:r>
      <w:r w:rsidRPr="00BB51E2">
        <w:rPr>
          <w:rFonts w:ascii="Times New Roman" w:hAnsi="Times New Roman"/>
          <w:sz w:val="24"/>
          <w:szCs w:val="24"/>
        </w:rPr>
        <w:t xml:space="preserve"> </w:t>
      </w:r>
      <w:r w:rsidR="00911A1E" w:rsidRPr="00BB51E2">
        <w:rPr>
          <w:rFonts w:ascii="Times New Roman" w:hAnsi="Times New Roman"/>
          <w:sz w:val="24"/>
          <w:szCs w:val="24"/>
        </w:rPr>
        <w:t>pretende</w:t>
      </w:r>
      <w:r w:rsidRPr="00E56423">
        <w:rPr>
          <w:rFonts w:ascii="Times New Roman" w:hAnsi="Times New Roman"/>
          <w:sz w:val="24"/>
          <w:szCs w:val="24"/>
        </w:rPr>
        <w:t xml:space="preserve"> analisar a natureza jurídica da qualificadora do feminicídio. A lei que incluiu essa nova qualificadora ao artigo 121, § 2º, inciso VI, do Código Penal no rol dos homicídios qualificados deixa margem para diversas interpretações quanto à sua natureza, além do fato de a violência de gênero ser um tema complexo e interdisciplinar, levando-se em consideração o aspecto subjetivo e objetivo da conduta</w:t>
      </w:r>
      <w:r w:rsidR="00911A1E">
        <w:rPr>
          <w:rFonts w:ascii="Times New Roman" w:hAnsi="Times New Roman"/>
          <w:sz w:val="24"/>
          <w:szCs w:val="24"/>
        </w:rPr>
        <w:t xml:space="preserve"> </w:t>
      </w:r>
      <w:r w:rsidR="00911A1E" w:rsidRPr="00BB51E2">
        <w:rPr>
          <w:rFonts w:ascii="Times New Roman" w:hAnsi="Times New Roman"/>
          <w:sz w:val="24"/>
          <w:szCs w:val="24"/>
        </w:rPr>
        <w:t>criminosa</w:t>
      </w:r>
      <w:r w:rsidRPr="00BB51E2">
        <w:rPr>
          <w:rFonts w:ascii="Times New Roman" w:hAnsi="Times New Roman"/>
          <w:sz w:val="24"/>
          <w:szCs w:val="24"/>
        </w:rPr>
        <w:t>.</w:t>
      </w:r>
      <w:r w:rsidRPr="00BB51E2">
        <w:t xml:space="preserve"> </w:t>
      </w:r>
      <w:r w:rsidRPr="00BB51E2">
        <w:rPr>
          <w:rFonts w:ascii="Times New Roman" w:hAnsi="Times New Roman"/>
          <w:sz w:val="24"/>
          <w:szCs w:val="24"/>
        </w:rPr>
        <w:t>O feminicídio nada mais é do que uma qualificadora do crime de homicídio</w:t>
      </w:r>
      <w:r w:rsidR="00911A1E" w:rsidRPr="00BB51E2">
        <w:rPr>
          <w:rFonts w:ascii="Times New Roman" w:hAnsi="Times New Roman"/>
          <w:sz w:val="24"/>
          <w:szCs w:val="24"/>
        </w:rPr>
        <w:t>, motivado por razões</w:t>
      </w:r>
      <w:r w:rsidRPr="00BB51E2">
        <w:rPr>
          <w:rFonts w:ascii="Times New Roman" w:hAnsi="Times New Roman"/>
          <w:sz w:val="24"/>
          <w:szCs w:val="24"/>
        </w:rPr>
        <w:t xml:space="preserve"> de gênero, envolvendo violência doméstica e familiar contra a mulher. O objetivo deste artigo não é apenas estudar os impactos dessa mudança, mas </w:t>
      </w:r>
      <w:r w:rsidR="00911A1E" w:rsidRPr="00BB51E2">
        <w:rPr>
          <w:rFonts w:ascii="Times New Roman" w:hAnsi="Times New Roman"/>
          <w:sz w:val="24"/>
          <w:szCs w:val="24"/>
        </w:rPr>
        <w:t>esquadrinhar</w:t>
      </w:r>
      <w:r w:rsidRPr="00BB51E2">
        <w:rPr>
          <w:rFonts w:ascii="Times New Roman" w:hAnsi="Times New Roman"/>
          <w:sz w:val="24"/>
          <w:szCs w:val="24"/>
        </w:rPr>
        <w:t xml:space="preserve"> a natureza</w:t>
      </w:r>
      <w:r w:rsidRPr="00E56423">
        <w:rPr>
          <w:rFonts w:ascii="Times New Roman" w:hAnsi="Times New Roman"/>
          <w:sz w:val="24"/>
          <w:szCs w:val="24"/>
        </w:rPr>
        <w:t xml:space="preserve"> jurídica desta Lei, que institui o femi</w:t>
      </w:r>
      <w:r>
        <w:rPr>
          <w:rFonts w:ascii="Times New Roman" w:hAnsi="Times New Roman"/>
          <w:sz w:val="24"/>
          <w:szCs w:val="24"/>
        </w:rPr>
        <w:t xml:space="preserve">nicídio. </w:t>
      </w:r>
      <w:r w:rsidRPr="00E56423">
        <w:rPr>
          <w:rFonts w:ascii="Times New Roman" w:hAnsi="Times New Roman"/>
          <w:sz w:val="24"/>
          <w:szCs w:val="24"/>
        </w:rPr>
        <w:t xml:space="preserve">Assim, o artigo trará as posições doutrinárias e jurisprudenciais, verificando seus diversos entendimentos em relação à natureza jurídica dessa nova qualificadora. Os procedimentos metodológicos adotados neste artigo constituíram no levantamento bibliográfico, uma vez que se buscou desenvolver o artigo por meio de uma leitura da temática ancorada em fontes teóricas e documentais sobre direito penal e violência doméstica e de gênero. No que diz respeito aos métodos de abordagem, a pesquisa foi </w:t>
      </w:r>
      <w:r w:rsidR="00911A1E" w:rsidRPr="00BB51E2">
        <w:rPr>
          <w:rFonts w:ascii="Times New Roman" w:hAnsi="Times New Roman"/>
          <w:sz w:val="24"/>
          <w:szCs w:val="24"/>
        </w:rPr>
        <w:t xml:space="preserve">de natureza </w:t>
      </w:r>
      <w:r w:rsidRPr="00BB51E2">
        <w:rPr>
          <w:rFonts w:ascii="Times New Roman" w:hAnsi="Times New Roman"/>
          <w:sz w:val="24"/>
          <w:szCs w:val="24"/>
        </w:rPr>
        <w:t>dedutiva</w:t>
      </w:r>
      <w:r w:rsidRPr="00E56423">
        <w:rPr>
          <w:rFonts w:ascii="Times New Roman" w:hAnsi="Times New Roman"/>
          <w:sz w:val="24"/>
          <w:szCs w:val="24"/>
        </w:rPr>
        <w:t>.</w:t>
      </w:r>
      <w:r w:rsidRPr="0040113D">
        <w:rPr>
          <w:rFonts w:ascii="Times New Roman" w:hAnsi="Times New Roman"/>
          <w:b/>
          <w:sz w:val="24"/>
          <w:szCs w:val="24"/>
        </w:rPr>
        <w:t xml:space="preserve"> </w:t>
      </w:r>
      <w:r w:rsidR="00911A1E" w:rsidRPr="00BB51E2">
        <w:rPr>
          <w:rFonts w:ascii="Times New Roman" w:hAnsi="Times New Roman"/>
          <w:sz w:val="24"/>
          <w:szCs w:val="24"/>
        </w:rPr>
        <w:t>A conclusão tratará</w:t>
      </w:r>
      <w:r w:rsidRPr="00BB51E2">
        <w:rPr>
          <w:rFonts w:ascii="Times New Roman" w:hAnsi="Times New Roman"/>
          <w:sz w:val="24"/>
          <w:szCs w:val="24"/>
        </w:rPr>
        <w:t xml:space="preserve"> do</w:t>
      </w:r>
      <w:r w:rsidRPr="00E56423">
        <w:rPr>
          <w:rFonts w:ascii="Times New Roman" w:hAnsi="Times New Roman"/>
          <w:sz w:val="24"/>
          <w:szCs w:val="24"/>
        </w:rPr>
        <w:t xml:space="preserve"> objeto central da pesquisa, analisando grupos que classificam a natureza jurídica da lei estudada, aprofundando cada uma dessas categorias a fim de chegarmos a um entendimento, bem como suas consequências no direito penal.</w:t>
      </w:r>
    </w:p>
    <w:p w:rsidR="00FC71EA" w:rsidRDefault="00FC71EA" w:rsidP="009321AC">
      <w:pPr>
        <w:pStyle w:val="FG11-resumo"/>
        <w:spacing w:line="360" w:lineRule="auto"/>
      </w:pPr>
      <w:r w:rsidRPr="005011A7">
        <w:rPr>
          <w:b/>
        </w:rPr>
        <w:t>Palavras-chave</w:t>
      </w:r>
      <w:r w:rsidRPr="005011A7">
        <w:t xml:space="preserve">: </w:t>
      </w:r>
      <w:r>
        <w:t>Mulher.</w:t>
      </w:r>
      <w:r w:rsidRPr="005011A7">
        <w:t xml:space="preserve"> </w:t>
      </w:r>
      <w:r>
        <w:t>Violência.</w:t>
      </w:r>
      <w:r w:rsidRPr="005011A7">
        <w:t xml:space="preserve"> </w:t>
      </w:r>
      <w:r>
        <w:t>Feminicídio. Homicídio.</w:t>
      </w:r>
      <w:r w:rsidRPr="00C75C02">
        <w:t xml:space="preserve"> </w:t>
      </w:r>
      <w:r>
        <w:t>Natureza Jurídica.</w:t>
      </w:r>
    </w:p>
    <w:p w:rsidR="00FC71EA" w:rsidRDefault="00FC71EA" w:rsidP="009321AC">
      <w:pPr>
        <w:pStyle w:val="FG11-resumo"/>
        <w:spacing w:line="360" w:lineRule="auto"/>
      </w:pPr>
    </w:p>
    <w:p w:rsidR="00FC71EA" w:rsidRDefault="00FC71EA" w:rsidP="009321AC">
      <w:pPr>
        <w:pStyle w:val="FG11-resumo"/>
        <w:spacing w:line="360" w:lineRule="auto"/>
      </w:pPr>
      <w:r>
        <w:t xml:space="preserve">SUMÁRIO: INTRODUÇÃO, 1 ASPECTOS CONSTITUCIONAIS DE PROTEÇÃO À MULHER, 1.1 Evolução história dos direitos femininos, 1.2 A proteção da mulher no direito brasileiro, 1.3 Homicídio e o direito à vida. 2 TIPO PENAL DO HOMICÍDIO, 2.1 Feminicídio, 2.2 Apontamentos acerca da violência de gênero, 2.3 Dados estatísticos </w:t>
      </w:r>
      <w:r>
        <w:lastRenderedPageBreak/>
        <w:t xml:space="preserve">do feminicídio, 3 A NATUREZA DO FEMINICÍDIO, 3.1 A natureza objetiva do feminicídio, 3.2 A natureza subjetiva do feminicídio, 3.3 </w:t>
      </w:r>
      <w:r w:rsidR="00447D47">
        <w:t>A quesitação no Tribunal do Júri</w:t>
      </w:r>
      <w:r>
        <w:t>,</w:t>
      </w:r>
      <w:r w:rsidR="00726DAD">
        <w:t xml:space="preserve"> </w:t>
      </w:r>
      <w:r>
        <w:t>CONCLUSÃO, REFEREÊNCIAS.</w:t>
      </w:r>
    </w:p>
    <w:p w:rsidR="00FC71EA" w:rsidRPr="00FC71EA" w:rsidRDefault="00FC71EA" w:rsidP="009321AC">
      <w:pPr>
        <w:pStyle w:val="FG11-resumo"/>
        <w:spacing w:line="360" w:lineRule="auto"/>
      </w:pPr>
    </w:p>
    <w:p w:rsidR="00FC71EA" w:rsidRPr="005844FE" w:rsidRDefault="00FC71EA" w:rsidP="009321AC">
      <w:pPr>
        <w:pStyle w:val="FG11-resumo"/>
        <w:spacing w:line="360" w:lineRule="auto"/>
        <w:rPr>
          <w:b/>
        </w:rPr>
      </w:pPr>
      <w:r w:rsidRPr="005844FE">
        <w:rPr>
          <w:b/>
        </w:rPr>
        <w:t>INTRODUÇÃO</w:t>
      </w:r>
    </w:p>
    <w:p w:rsidR="00FC71EA" w:rsidRDefault="00FC71EA" w:rsidP="009321AC">
      <w:pPr>
        <w:pStyle w:val="FG11-resumo"/>
        <w:spacing w:line="360" w:lineRule="auto"/>
      </w:pPr>
      <w:r>
        <w:tab/>
      </w:r>
      <w:r w:rsidRPr="00BB51E2">
        <w:t xml:space="preserve">O presente artigo visa </w:t>
      </w:r>
      <w:r w:rsidR="00911A1E" w:rsidRPr="00BB51E2">
        <w:t xml:space="preserve">ao </w:t>
      </w:r>
      <w:r w:rsidRPr="00BB51E2">
        <w:t xml:space="preserve">debate </w:t>
      </w:r>
      <w:r w:rsidR="00911A1E" w:rsidRPr="00BB51E2">
        <w:t>d</w:t>
      </w:r>
      <w:r w:rsidRPr="00BB51E2">
        <w:t xml:space="preserve">a alteração trazida pela Lei 13.104/2015 ao </w:t>
      </w:r>
      <w:r w:rsidR="00911A1E" w:rsidRPr="00BB51E2">
        <w:t>a</w:t>
      </w:r>
      <w:r w:rsidRPr="00BB51E2">
        <w:t>rtigo 121</w:t>
      </w:r>
      <w:r w:rsidR="00911A1E" w:rsidRPr="00BB51E2">
        <w:t>,</w:t>
      </w:r>
      <w:r w:rsidRPr="00BB51E2">
        <w:t xml:space="preserve"> do Código</w:t>
      </w:r>
      <w:r>
        <w:t xml:space="preserve"> Penal Brasileiro, decorrente do projeto de lei nº 8.305/2014, proposto pela Comissão Parlamentar Mista de Inquérito da Violência contra a Mulher, sendo que, no dia 09 de Março de 2015, a Presidente Dilma Rousseff sancionou a Lei nº 13.104/15 que introduziu uma nova circunstância qualificadora no crime de homicídio, o feminicídio. </w:t>
      </w:r>
    </w:p>
    <w:p w:rsidR="00FC71EA" w:rsidRDefault="00FC71EA" w:rsidP="009321AC">
      <w:pPr>
        <w:pStyle w:val="FG11-resumo"/>
        <w:spacing w:line="360" w:lineRule="auto"/>
      </w:pPr>
      <w:r w:rsidRPr="00BB51E2">
        <w:t xml:space="preserve">            O feminicídio nada mais é do que uma qualificadora do crime de homicídio</w:t>
      </w:r>
      <w:r w:rsidR="0036001D" w:rsidRPr="00BB51E2">
        <w:rPr>
          <w:szCs w:val="24"/>
        </w:rPr>
        <w:t>, praticado contra a mulher, motivado por razões de gênero</w:t>
      </w:r>
      <w:r w:rsidRPr="00BB51E2">
        <w:t xml:space="preserve">. </w:t>
      </w:r>
      <w:r w:rsidR="0036001D" w:rsidRPr="00BB51E2">
        <w:t>Incidirá, portanto, a presente qualificadora sempre que</w:t>
      </w:r>
      <w:r w:rsidRPr="00BB51E2">
        <w:t xml:space="preserve"> o homicídio envolver violência doméstica e familiar ou menosprezo e discriminação à condição de mulher. Assim sendo, es</w:t>
      </w:r>
      <w:r w:rsidR="0036001D" w:rsidRPr="00BB51E2">
        <w:t>s</w:t>
      </w:r>
      <w:r w:rsidRPr="00BB51E2">
        <w:t>a lei</w:t>
      </w:r>
      <w:r>
        <w:t xml:space="preserve"> alterou o Código Penal Brasileiro vigente ao incluir esta qualificadora</w:t>
      </w:r>
      <w:r w:rsidRPr="00BB51E2">
        <w:t xml:space="preserve">, não </w:t>
      </w:r>
      <w:r w:rsidR="0036001D" w:rsidRPr="00BB51E2">
        <w:t xml:space="preserve">se </w:t>
      </w:r>
      <w:r w:rsidRPr="00BB51E2">
        <w:t xml:space="preserve">podendo </w:t>
      </w:r>
      <w:r w:rsidR="0036001D" w:rsidRPr="00BB51E2">
        <w:t>olvidar</w:t>
      </w:r>
      <w:r>
        <w:t xml:space="preserve"> que como todos os homicídios qualificados, o feminicídio passa a ser um crime hediondo. </w:t>
      </w:r>
      <w:r w:rsidR="00214C57">
        <w:t xml:space="preserve">Em síntese, como homicídio da mulher por razões de </w:t>
      </w:r>
      <w:r w:rsidR="00214C57" w:rsidRPr="00BB51E2">
        <w:t>gênero, em um contexto de violência doméstica e familiar, menosprezo ou discriminação à condição</w:t>
      </w:r>
      <w:r w:rsidR="00214C57">
        <w:t xml:space="preserve"> de mulher.</w:t>
      </w:r>
    </w:p>
    <w:p w:rsidR="00FC71EA" w:rsidRPr="008E4749" w:rsidRDefault="00FC71EA" w:rsidP="009321AC">
      <w:pPr>
        <w:pStyle w:val="FG11-resumo"/>
        <w:spacing w:line="360" w:lineRule="auto"/>
        <w:ind w:firstLine="709"/>
      </w:pPr>
      <w:r w:rsidRPr="00BB51E2">
        <w:t xml:space="preserve">O tema foi escolhido, pois nos dias atuais, o número de casos de violência contra as mulheres vem aumentando a cada dia mais, sendo que </w:t>
      </w:r>
      <w:r w:rsidR="00682936" w:rsidRPr="00BB51E2">
        <w:rPr>
          <w:rFonts w:ascii="sans" w:hAnsi="sans"/>
          <w:color w:val="000000"/>
          <w:shd w:val="clear" w:color="auto" w:fill="FFFFFF"/>
        </w:rPr>
        <w:t>a metade dos homicídios femininos praticados no mundo foi</w:t>
      </w:r>
      <w:r w:rsidRPr="00BB51E2">
        <w:rPr>
          <w:rFonts w:ascii="sans" w:hAnsi="sans"/>
          <w:color w:val="000000"/>
          <w:shd w:val="clear" w:color="auto" w:fill="FFFFFF"/>
        </w:rPr>
        <w:t xml:space="preserve"> de autoria de namorados, maridos, companheiros, </w:t>
      </w:r>
      <w:r w:rsidR="0036001D" w:rsidRPr="00BB51E2">
        <w:rPr>
          <w:rFonts w:ascii="sans" w:hAnsi="sans"/>
          <w:shd w:val="clear" w:color="auto" w:fill="FFFFFF"/>
        </w:rPr>
        <w:t>antigos</w:t>
      </w:r>
      <w:r w:rsidRPr="00BB51E2">
        <w:rPr>
          <w:rFonts w:ascii="sans" w:hAnsi="sans"/>
          <w:color w:val="000000"/>
          <w:shd w:val="clear" w:color="auto" w:fill="FFFFFF"/>
        </w:rPr>
        <w:t xml:space="preserve"> ou atuais. Outro ponto pela escolha do tema é porque, o Brasil ocupa o 5º lugar no ranking mundial do feminicídio</w:t>
      </w:r>
      <w:r w:rsidR="00415B32">
        <w:rPr>
          <w:rFonts w:ascii="sans" w:hAnsi="sans"/>
          <w:color w:val="000000"/>
          <w:shd w:val="clear" w:color="auto" w:fill="FFFFFF"/>
        </w:rPr>
        <w:t>.</w:t>
      </w:r>
      <w:r w:rsidR="008D1C30" w:rsidRPr="00BB51E2">
        <w:rPr>
          <w:rFonts w:ascii="sans" w:hAnsi="sans"/>
          <w:color w:val="000000"/>
          <w:shd w:val="clear" w:color="auto" w:fill="FFFFFF"/>
        </w:rPr>
        <w:t xml:space="preserve"> </w:t>
      </w:r>
    </w:p>
    <w:p w:rsidR="00FC71EA" w:rsidRDefault="00FC71EA" w:rsidP="009321AC">
      <w:pPr>
        <w:pStyle w:val="FG11-resumo"/>
        <w:spacing w:line="360" w:lineRule="auto"/>
        <w:ind w:firstLine="708"/>
      </w:pPr>
      <w:r>
        <w:t>Neste artigo</w:t>
      </w:r>
      <w:r w:rsidR="0036001D" w:rsidRPr="0036001D">
        <w:rPr>
          <w:color w:val="FF0000"/>
        </w:rPr>
        <w:t>,</w:t>
      </w:r>
      <w:r>
        <w:t xml:space="preserve"> </w:t>
      </w:r>
      <w:r w:rsidR="0036001D" w:rsidRPr="00BB51E2">
        <w:t>serão demonstrados</w:t>
      </w:r>
      <w:r w:rsidR="0036001D">
        <w:t xml:space="preserve"> </w:t>
      </w:r>
      <w:r>
        <w:t>argumentos de três correntes de análise diversas, primeiramente a de natureza objetiva, em um segundo momento a de natureza subjetiva, e por fim, a de natureza mista da qualificadora do feminicídio. Destarte, a controvérsia encontra-se na análise das consequências que essas três categorias podem gerar em outros âmbitos do direito, como na quesitação do Tribunal do Júri.</w:t>
      </w:r>
    </w:p>
    <w:p w:rsidR="00FC71EA" w:rsidRDefault="00FC71EA" w:rsidP="009321AC">
      <w:pPr>
        <w:pStyle w:val="FG11-resumo"/>
        <w:spacing w:line="360" w:lineRule="auto"/>
      </w:pPr>
      <w:r>
        <w:tab/>
        <w:t xml:space="preserve">No primeiro momento, será abordada a evolução histórica dos direitos femininos no mundo e no Brasil, baseada nas conquistas desses, e com alicerce nos movimentos feministas e em sua influência no desenvolvimento e na mudança de diversas normas jurídicas. Além disso, será realizada uma breve análise da Lei 11.340/2006 (Lei Maria da </w:t>
      </w:r>
      <w:r>
        <w:lastRenderedPageBreak/>
        <w:t xml:space="preserve">Penha), não obstante tratar-se de um marco histórico para o direito das mulheres nesse país. </w:t>
      </w:r>
    </w:p>
    <w:p w:rsidR="00FC71EA" w:rsidRDefault="00FC71EA" w:rsidP="009321AC">
      <w:pPr>
        <w:pStyle w:val="FG11-resumo"/>
        <w:spacing w:line="360" w:lineRule="auto"/>
        <w:ind w:firstLine="708"/>
      </w:pPr>
      <w:r>
        <w:t>No segundo capítulo</w:t>
      </w:r>
      <w:r w:rsidRPr="00BB51E2">
        <w:t xml:space="preserve">, </w:t>
      </w:r>
      <w:r w:rsidR="0095742D" w:rsidRPr="00BB51E2">
        <w:t>buscar-se-á conceituar</w:t>
      </w:r>
      <w:r w:rsidRPr="00BB51E2">
        <w:t xml:space="preserve"> a</w:t>
      </w:r>
      <w:r>
        <w:t xml:space="preserve"> qualificadora do feminicídio</w:t>
      </w:r>
      <w:r w:rsidRPr="0095742D">
        <w:rPr>
          <w:color w:val="FF0000"/>
        </w:rPr>
        <w:t xml:space="preserve">, </w:t>
      </w:r>
      <w:r w:rsidR="0095742D" w:rsidRPr="00BB51E2">
        <w:t xml:space="preserve">salientando </w:t>
      </w:r>
      <w:r w:rsidRPr="00BB51E2">
        <w:t xml:space="preserve">que </w:t>
      </w:r>
      <w:r w:rsidR="0095742D" w:rsidRPr="00BB51E2">
        <w:t>não basta</w:t>
      </w:r>
      <w:r w:rsidR="0095742D" w:rsidRPr="0095742D">
        <w:rPr>
          <w:color w:val="FF0000"/>
        </w:rPr>
        <w:t xml:space="preserve"> </w:t>
      </w:r>
      <w:r w:rsidRPr="00AE76D7">
        <w:t>a vítima seja mulher</w:t>
      </w:r>
      <w:r w:rsidR="0095742D">
        <w:t xml:space="preserve"> </w:t>
      </w:r>
      <w:r w:rsidR="0095742D" w:rsidRPr="00BB51E2">
        <w:t>para a sua caracterização</w:t>
      </w:r>
      <w:r w:rsidR="0095742D">
        <w:t>:</w:t>
      </w:r>
      <w:r w:rsidRPr="00AE76D7">
        <w:t xml:space="preserve"> a mo</w:t>
      </w:r>
      <w:r w:rsidRPr="00BB51E2">
        <w:t xml:space="preserve">rte </w:t>
      </w:r>
      <w:r w:rsidR="0095742D" w:rsidRPr="00BB51E2">
        <w:t xml:space="preserve">dolosa </w:t>
      </w:r>
      <w:r w:rsidRPr="00BB51E2">
        <w:t>tem que ocorrer por “razões de condição de sexo feminino”</w:t>
      </w:r>
      <w:r w:rsidR="0095742D" w:rsidRPr="00BB51E2">
        <w:t>,</w:t>
      </w:r>
      <w:r w:rsidR="0095742D">
        <w:t xml:space="preserve"> </w:t>
      </w:r>
      <w:r w:rsidRPr="00AE76D7">
        <w:t>como sendo as seguintes: violência doméstica e familiar contra a mulher, menosprezo à condição de mulher e discriminação à condição de mulher.</w:t>
      </w:r>
      <w:r>
        <w:t xml:space="preserve"> </w:t>
      </w:r>
      <w:r w:rsidR="0095742D" w:rsidRPr="00BB51E2">
        <w:t>Sem prejuízo, serão feitos</w:t>
      </w:r>
      <w:r>
        <w:t xml:space="preserve"> apontamentos acerca da violência de gênero, demonstrando, por fim, dados estatísticos dos últimos anos, sobre o crime de feminicídio no Brasil. </w:t>
      </w:r>
    </w:p>
    <w:p w:rsidR="00FC71EA" w:rsidRPr="00FB28B6" w:rsidRDefault="00FC71EA" w:rsidP="009321AC">
      <w:pPr>
        <w:pStyle w:val="FG11-resumo"/>
        <w:spacing w:line="360" w:lineRule="auto"/>
        <w:ind w:firstLine="708"/>
      </w:pPr>
      <w:r>
        <w:t xml:space="preserve"> Ao findar, </w:t>
      </w:r>
      <w:r w:rsidR="0095742D" w:rsidRPr="00BB51E2">
        <w:t>serão analisadas</w:t>
      </w:r>
      <w:r w:rsidRPr="00BB51E2">
        <w:t xml:space="preserve"> as </w:t>
      </w:r>
      <w:r w:rsidR="0095742D" w:rsidRPr="00BB51E2">
        <w:t>três correntes doutrinárias que discutem</w:t>
      </w:r>
      <w:r w:rsidRPr="00AE76D7">
        <w:t xml:space="preserve"> a sua natureza jurídica</w:t>
      </w:r>
      <w:r>
        <w:t xml:space="preserve">, </w:t>
      </w:r>
      <w:r w:rsidRPr="00BB51E2">
        <w:t xml:space="preserve">a primeira delas </w:t>
      </w:r>
      <w:r w:rsidR="0095742D" w:rsidRPr="00BB51E2">
        <w:t>definindo a</w:t>
      </w:r>
      <w:r w:rsidRPr="00BB51E2">
        <w:t xml:space="preserve"> qualificadora do feminicídio </w:t>
      </w:r>
      <w:r w:rsidR="0095742D" w:rsidRPr="00BB51E2">
        <w:t>como</w:t>
      </w:r>
      <w:r w:rsidRPr="00BB51E2">
        <w:t xml:space="preserve"> de</w:t>
      </w:r>
      <w:r w:rsidRPr="00AE76D7">
        <w:t xml:space="preserve"> natureza </w:t>
      </w:r>
      <w:r>
        <w:t>objetiva</w:t>
      </w:r>
      <w:r w:rsidRPr="00AE76D7">
        <w:t xml:space="preserve">, a segunda entendendo que se trata de uma qualificadora </w:t>
      </w:r>
      <w:r>
        <w:t>subjetiva</w:t>
      </w:r>
      <w:r w:rsidRPr="00AE76D7">
        <w:t xml:space="preserve"> e a terceira de que seria uma natureza tanto </w:t>
      </w:r>
      <w:r>
        <w:t>objetiva quant</w:t>
      </w:r>
      <w:r w:rsidRPr="00AE76D7">
        <w:t xml:space="preserve">o </w:t>
      </w:r>
      <w:r>
        <w:t>subjetiva</w:t>
      </w:r>
      <w:r w:rsidRPr="00AE76D7">
        <w:t>,</w:t>
      </w:r>
      <w:r>
        <w:t xml:space="preserve"> além da apresentação da quesitação do Tribunal do Júri dentro da temática do </w:t>
      </w:r>
      <w:r w:rsidR="0095742D" w:rsidRPr="00BB51E2">
        <w:t>direito processual penal.</w:t>
      </w:r>
    </w:p>
    <w:p w:rsidR="00FC71EA" w:rsidRPr="003778E8" w:rsidRDefault="00FC71EA" w:rsidP="009321AC">
      <w:pPr>
        <w:pStyle w:val="FG11-resumo"/>
        <w:spacing w:line="360" w:lineRule="auto"/>
        <w:rPr>
          <w:b/>
          <w:szCs w:val="24"/>
        </w:rPr>
      </w:pPr>
      <w:r>
        <w:tab/>
      </w:r>
    </w:p>
    <w:p w:rsidR="00FC71EA" w:rsidRPr="00F4163B" w:rsidRDefault="00FC71EA" w:rsidP="009321AC">
      <w:pPr>
        <w:pStyle w:val="FG11-corpo-do-texto"/>
        <w:ind w:firstLine="0"/>
        <w:rPr>
          <w:b/>
          <w:szCs w:val="24"/>
        </w:rPr>
      </w:pPr>
      <w:r w:rsidRPr="00985BE5">
        <w:rPr>
          <w:b/>
          <w:szCs w:val="24"/>
        </w:rPr>
        <w:t xml:space="preserve">1 </w:t>
      </w:r>
      <w:r>
        <w:rPr>
          <w:b/>
          <w:szCs w:val="24"/>
        </w:rPr>
        <w:t>ASPECTOS CONTITUCIONAIS DE PROTEÇÃO À MULHER.</w:t>
      </w:r>
    </w:p>
    <w:p w:rsidR="00FC71EA" w:rsidRPr="007040C8" w:rsidRDefault="00FC71EA" w:rsidP="009321AC">
      <w:pPr>
        <w:spacing w:line="360" w:lineRule="auto"/>
        <w:ind w:firstLine="709"/>
        <w:jc w:val="both"/>
        <w:rPr>
          <w:rFonts w:ascii="Times New Roman" w:hAnsi="Times New Roman"/>
          <w:sz w:val="24"/>
          <w:szCs w:val="24"/>
        </w:rPr>
      </w:pPr>
      <w:r w:rsidRPr="001811A5">
        <w:rPr>
          <w:rFonts w:ascii="Times New Roman" w:hAnsi="Times New Roman"/>
          <w:sz w:val="24"/>
          <w:szCs w:val="24"/>
        </w:rPr>
        <w:t>Neste capítulo</w:t>
      </w:r>
      <w:r w:rsidR="0095742D">
        <w:rPr>
          <w:rFonts w:ascii="Times New Roman" w:hAnsi="Times New Roman"/>
          <w:sz w:val="24"/>
          <w:szCs w:val="24"/>
        </w:rPr>
        <w:t xml:space="preserve">, </w:t>
      </w:r>
      <w:r w:rsidR="0095742D" w:rsidRPr="00BB51E2">
        <w:rPr>
          <w:rFonts w:ascii="Times New Roman" w:hAnsi="Times New Roman"/>
          <w:sz w:val="24"/>
          <w:szCs w:val="24"/>
        </w:rPr>
        <w:t>pretende-se</w:t>
      </w:r>
      <w:r w:rsidRPr="00BB51E2">
        <w:rPr>
          <w:rFonts w:ascii="Times New Roman" w:hAnsi="Times New Roman"/>
          <w:sz w:val="24"/>
          <w:szCs w:val="24"/>
        </w:rPr>
        <w:t xml:space="preserve"> tratar</w:t>
      </w:r>
      <w:r w:rsidRPr="001811A5">
        <w:rPr>
          <w:rFonts w:ascii="Times New Roman" w:hAnsi="Times New Roman"/>
          <w:sz w:val="24"/>
          <w:szCs w:val="24"/>
        </w:rPr>
        <w:t xml:space="preserve"> das concepções constitucionais da lei do feminicídio, antes de </w:t>
      </w:r>
      <w:r w:rsidRPr="00BB51E2">
        <w:rPr>
          <w:rFonts w:ascii="Times New Roman" w:hAnsi="Times New Roman"/>
          <w:sz w:val="24"/>
          <w:szCs w:val="24"/>
        </w:rPr>
        <w:t>adentrarmos</w:t>
      </w:r>
      <w:r w:rsidRPr="001811A5">
        <w:rPr>
          <w:rFonts w:ascii="Times New Roman" w:hAnsi="Times New Roman"/>
          <w:sz w:val="24"/>
          <w:szCs w:val="24"/>
        </w:rPr>
        <w:t xml:space="preserve"> ao tema central deste tópico, </w:t>
      </w:r>
      <w:r w:rsidRPr="00BB51E2">
        <w:rPr>
          <w:rFonts w:ascii="Times New Roman" w:hAnsi="Times New Roman"/>
          <w:sz w:val="24"/>
          <w:szCs w:val="24"/>
        </w:rPr>
        <w:t>traçaremos</w:t>
      </w:r>
      <w:r w:rsidRPr="001811A5">
        <w:rPr>
          <w:rFonts w:ascii="Times New Roman" w:hAnsi="Times New Roman"/>
          <w:sz w:val="24"/>
          <w:szCs w:val="24"/>
        </w:rPr>
        <w:t xml:space="preserve"> um breve relato acerca do histórico de violência contra a mulher e como surgiu a necessidade especial de sua proteção na sociedade. </w:t>
      </w:r>
      <w:r w:rsidRPr="00BB51E2">
        <w:rPr>
          <w:rFonts w:ascii="Times New Roman" w:hAnsi="Times New Roman"/>
          <w:sz w:val="24"/>
          <w:szCs w:val="24"/>
        </w:rPr>
        <w:t>Abordaremos</w:t>
      </w:r>
      <w:r w:rsidRPr="001811A5">
        <w:rPr>
          <w:rFonts w:ascii="Times New Roman" w:hAnsi="Times New Roman"/>
          <w:sz w:val="24"/>
          <w:szCs w:val="24"/>
        </w:rPr>
        <w:t xml:space="preserve"> ainda, sobre a Convenção Interamericana para prevenir, punir e erradicar a violência contra a mulher, mais conhecida como “Convenção de Belém do Pará”, e também, sobre o caso Maria da Penha.</w:t>
      </w:r>
    </w:p>
    <w:p w:rsidR="00FC71EA" w:rsidRPr="00E53896" w:rsidRDefault="00FC71EA" w:rsidP="009321AC">
      <w:pPr>
        <w:pStyle w:val="Default"/>
        <w:spacing w:line="360" w:lineRule="auto"/>
        <w:rPr>
          <w:b/>
        </w:rPr>
      </w:pPr>
      <w:r w:rsidRPr="00E53896">
        <w:rPr>
          <w:b/>
        </w:rPr>
        <w:t>1.1 Evolução histórica dos direitos femininos.</w:t>
      </w:r>
    </w:p>
    <w:p w:rsidR="00682936" w:rsidRDefault="00FC71EA" w:rsidP="009321AC">
      <w:pPr>
        <w:pStyle w:val="FG9corpodotexto"/>
        <w:rPr>
          <w:szCs w:val="24"/>
        </w:rPr>
      </w:pPr>
      <w:r>
        <w:rPr>
          <w:szCs w:val="24"/>
        </w:rPr>
        <w:t xml:space="preserve">A </w:t>
      </w:r>
      <w:r w:rsidRPr="00BB51E2">
        <w:rPr>
          <w:szCs w:val="24"/>
        </w:rPr>
        <w:t>nossa</w:t>
      </w:r>
      <w:r>
        <w:rPr>
          <w:szCs w:val="24"/>
        </w:rPr>
        <w:t xml:space="preserve"> sociedade é profundamente patriarcal, o patriarcado é uma forma de organização social e familiar que posiciona o pai de modo hierárquico, como o detentor de toda a autoridade perante os outros membros da família</w:t>
      </w:r>
      <w:r w:rsidR="008D1C30">
        <w:rPr>
          <w:szCs w:val="24"/>
        </w:rPr>
        <w:t xml:space="preserve">. </w:t>
      </w:r>
      <w:r>
        <w:rPr>
          <w:szCs w:val="24"/>
        </w:rPr>
        <w:t>O patriarcado é, de fato, o poder masculino, sendo concentrado na figura do homem</w:t>
      </w:r>
      <w:r w:rsidR="00682936">
        <w:rPr>
          <w:szCs w:val="24"/>
        </w:rPr>
        <w:t>.</w:t>
      </w:r>
    </w:p>
    <w:p w:rsidR="00FC71EA" w:rsidRDefault="00FC71EA" w:rsidP="009321AC">
      <w:pPr>
        <w:pStyle w:val="FG9corpodotexto"/>
        <w:rPr>
          <w:szCs w:val="24"/>
        </w:rPr>
      </w:pPr>
      <w:r>
        <w:rPr>
          <w:szCs w:val="24"/>
        </w:rPr>
        <w:t>Inseriu-se com o surgimento da propriedade privada</w:t>
      </w:r>
      <w:r w:rsidR="0095742D" w:rsidRPr="0095742D">
        <w:rPr>
          <w:color w:val="FF0000"/>
          <w:szCs w:val="24"/>
        </w:rPr>
        <w:t>,</w:t>
      </w:r>
      <w:r>
        <w:rPr>
          <w:szCs w:val="24"/>
        </w:rPr>
        <w:t xml:space="preserve"> acercando-se e se implantando através de discursivas que o mantiveram até a contemporaneidade. Ser do gênero feminino significou ser pertencente, dependente, ao gênero oposto,</w:t>
      </w:r>
      <w:r w:rsidRPr="0095742D">
        <w:rPr>
          <w:color w:val="FF0000"/>
          <w:szCs w:val="24"/>
        </w:rPr>
        <w:t xml:space="preserve"> </w:t>
      </w:r>
      <w:r w:rsidR="0095742D" w:rsidRPr="00BB51E2">
        <w:rPr>
          <w:szCs w:val="24"/>
        </w:rPr>
        <w:t>de modo que</w:t>
      </w:r>
      <w:r w:rsidR="0095742D" w:rsidRPr="0095742D">
        <w:rPr>
          <w:color w:val="FF0000"/>
          <w:szCs w:val="24"/>
        </w:rPr>
        <w:t xml:space="preserve"> </w:t>
      </w:r>
      <w:r>
        <w:rPr>
          <w:szCs w:val="24"/>
        </w:rPr>
        <w:t xml:space="preserve">a subjetividade feminina foi consolidada à hierarquia pautada pela condição masculina construída na afirmação de que este sexo era dominante. As mulheres foram </w:t>
      </w:r>
      <w:r>
        <w:rPr>
          <w:szCs w:val="24"/>
        </w:rPr>
        <w:lastRenderedPageBreak/>
        <w:t>convencidas de que seu lugar social era de subordinação, discursiva fortalecida pelas instituições, tais como, a religião, a família, e o próprio estado que serviram de apoio para sua expansão.</w:t>
      </w:r>
    </w:p>
    <w:p w:rsidR="00FC71EA" w:rsidRDefault="00FC71EA" w:rsidP="009321AC">
      <w:pPr>
        <w:pStyle w:val="FG9corpodotexto"/>
        <w:rPr>
          <w:szCs w:val="24"/>
        </w:rPr>
      </w:pPr>
      <w:r>
        <w:rPr>
          <w:szCs w:val="24"/>
        </w:rPr>
        <w:t xml:space="preserve">A origem histórica desse conceito consolidou-se enquanto instituição na Roma Antiga, </w:t>
      </w:r>
      <w:r w:rsidRPr="00BB51E2">
        <w:rPr>
          <w:szCs w:val="24"/>
        </w:rPr>
        <w:t>tornando</w:t>
      </w:r>
      <w:r w:rsidR="0095742D" w:rsidRPr="00BB51E2">
        <w:rPr>
          <w:szCs w:val="24"/>
        </w:rPr>
        <w:t>-se</w:t>
      </w:r>
      <w:r>
        <w:rPr>
          <w:szCs w:val="24"/>
        </w:rPr>
        <w:t xml:space="preserve"> a base da formação de toda estrutura social da humanidade, “O patriarca tinha sob seu poder a mulher, os filhos, os escravos e os vassalos, além do direito de vida e de morte sobre todos eles”. Este sentido de patriarcado caracterizado pela supremacia masculina, desvalorização da identidade feminina e atribuição funcional do ser mulher, apenas para procriação, remonta </w:t>
      </w:r>
      <w:r w:rsidR="00B2190E" w:rsidRPr="00BB51E2">
        <w:rPr>
          <w:szCs w:val="24"/>
        </w:rPr>
        <w:t>à</w:t>
      </w:r>
      <w:r w:rsidRPr="00BB51E2">
        <w:rPr>
          <w:szCs w:val="24"/>
        </w:rPr>
        <w:t xml:space="preserve"> </w:t>
      </w:r>
      <w:r>
        <w:rPr>
          <w:szCs w:val="24"/>
        </w:rPr>
        <w:t xml:space="preserve">História Antiga e Idade Média. </w:t>
      </w:r>
    </w:p>
    <w:p w:rsidR="00FC71EA" w:rsidRDefault="00FC71EA" w:rsidP="009321AC">
      <w:pPr>
        <w:pStyle w:val="Default"/>
        <w:spacing w:line="360" w:lineRule="auto"/>
        <w:ind w:firstLine="709"/>
        <w:jc w:val="both"/>
        <w:rPr>
          <w:rFonts w:eastAsia="Times New Roman"/>
          <w:noProof/>
          <w:lang w:eastAsia="pt-BR"/>
        </w:rPr>
      </w:pPr>
      <w:r>
        <w:t xml:space="preserve">Simone Beauvoir (1967, p. 206) sublinha que o estado de sujeição da mulher ocorre exatamente no momento que se passa a ter consciência da propriedade privada, uma vez que, segundo a autora, nas sociedades ditas primitivas conferia-se </w:t>
      </w:r>
      <w:r w:rsidR="00B2190E" w:rsidRPr="00BB51E2">
        <w:rPr>
          <w:color w:val="auto"/>
        </w:rPr>
        <w:t>à</w:t>
      </w:r>
      <w:r>
        <w:t xml:space="preserve"> mulher o </w:t>
      </w:r>
      <w:r w:rsidR="00B2190E" w:rsidRPr="00BB51E2">
        <w:rPr>
          <w:color w:val="auto"/>
        </w:rPr>
        <w:t>título</w:t>
      </w:r>
      <w:r>
        <w:t xml:space="preserve"> de única natalidade. A mulher exercia atividades de coleta importantes para a manutenção do grupo, </w:t>
      </w:r>
      <w:r>
        <w:rPr>
          <w:rFonts w:eastAsia="Times New Roman"/>
          <w:noProof/>
          <w:lang w:eastAsia="pt-BR"/>
        </w:rPr>
        <w:t>o que sublinhava uma igualdade de funções sociais, desse modo, ocorreu um processo de coisificação, onde a mulher deixa de ser indivíduo e se torna também propriedade do pai ou do marido, assim como a terra, os filhos, os animais e os escravos.</w:t>
      </w:r>
    </w:p>
    <w:p w:rsidR="00FC71EA" w:rsidRPr="005702A0" w:rsidRDefault="00AD248A" w:rsidP="009321AC">
      <w:pPr>
        <w:pStyle w:val="Default"/>
        <w:spacing w:line="360" w:lineRule="auto"/>
        <w:ind w:firstLine="709"/>
        <w:jc w:val="both"/>
      </w:pPr>
      <w:r>
        <w:t>Ainda em relação à temática dos diplomas internacionais, foi nessa década, mais especificamente em 1994, que foi realizada a Convenção Interamericana para Prevenir, Punir e Erradicar a Violência contra a Mulher (Convenção do Belém do Pará), que reforçou a ampla concepção do conceito de violência doméstica, frisando seu contexto dentro das relações privadas. Em seu artigo 12, definiu que qualquer pessoa ou entidade legalmente reconhecida em um ou mais Estados-membros da organização podia apresentar denúncias à Comissão Interamericana de Direitos Humanos acerca de violência de gênero, o que permitiu grande mudança na legislação brasileira.</w:t>
      </w:r>
    </w:p>
    <w:p w:rsidR="00FC71EA" w:rsidRPr="00F4163B" w:rsidRDefault="00FC71EA" w:rsidP="009321AC">
      <w:pPr>
        <w:pStyle w:val="FG11-titulo2"/>
        <w:rPr>
          <w:i w:val="0"/>
          <w:szCs w:val="24"/>
        </w:rPr>
      </w:pPr>
      <w:r w:rsidRPr="009037E2">
        <w:rPr>
          <w:i w:val="0"/>
          <w:szCs w:val="24"/>
        </w:rPr>
        <w:t>1.</w:t>
      </w:r>
      <w:r>
        <w:rPr>
          <w:i w:val="0"/>
          <w:szCs w:val="24"/>
        </w:rPr>
        <w:t>2</w:t>
      </w:r>
      <w:r w:rsidRPr="009037E2">
        <w:rPr>
          <w:i w:val="0"/>
          <w:szCs w:val="24"/>
        </w:rPr>
        <w:t xml:space="preserve"> </w:t>
      </w:r>
      <w:r>
        <w:rPr>
          <w:i w:val="0"/>
          <w:szCs w:val="24"/>
        </w:rPr>
        <w:t>A proteção da mulher no direito brasileiro.</w:t>
      </w:r>
    </w:p>
    <w:p w:rsidR="00B2190E" w:rsidRDefault="00FC71EA" w:rsidP="009321AC">
      <w:pPr>
        <w:pStyle w:val="Default"/>
        <w:spacing w:line="360" w:lineRule="auto"/>
        <w:ind w:firstLine="851"/>
        <w:jc w:val="both"/>
        <w:rPr>
          <w:rFonts w:eastAsia="Times New Roman"/>
          <w:noProof/>
          <w:lang w:eastAsia="pt-BR"/>
        </w:rPr>
      </w:pPr>
      <w:r>
        <w:rPr>
          <w:rFonts w:eastAsia="Times New Roman"/>
          <w:noProof/>
          <w:lang w:eastAsia="pt-BR"/>
        </w:rPr>
        <w:t>É de suma importância traçar a evolução dos direitos adquiridos pelas mulheres no Brasil</w:t>
      </w:r>
      <w:r w:rsidR="00B2190E">
        <w:rPr>
          <w:rFonts w:eastAsia="Times New Roman"/>
          <w:noProof/>
          <w:lang w:eastAsia="pt-BR"/>
        </w:rPr>
        <w:t xml:space="preserve">, </w:t>
      </w:r>
      <w:r w:rsidR="00B2190E" w:rsidRPr="00BB51E2">
        <w:rPr>
          <w:rFonts w:eastAsia="Times New Roman"/>
          <w:noProof/>
          <w:color w:val="auto"/>
          <w:lang w:eastAsia="pt-BR"/>
        </w:rPr>
        <w:t>sobrelevando-se como</w:t>
      </w:r>
      <w:r>
        <w:rPr>
          <w:rFonts w:eastAsia="Times New Roman"/>
          <w:noProof/>
          <w:lang w:eastAsia="pt-BR"/>
        </w:rPr>
        <w:t xml:space="preserve"> um dos marcos mais importantes na luta pela proteção das mulheres</w:t>
      </w:r>
      <w:r w:rsidRPr="00B2190E">
        <w:rPr>
          <w:rFonts w:eastAsia="Times New Roman"/>
          <w:noProof/>
          <w:color w:val="FF0000"/>
          <w:lang w:eastAsia="pt-BR"/>
        </w:rPr>
        <w:t xml:space="preserve"> </w:t>
      </w:r>
      <w:r w:rsidR="00B2190E" w:rsidRPr="00BB51E2">
        <w:rPr>
          <w:rFonts w:eastAsia="Times New Roman"/>
          <w:noProof/>
          <w:color w:val="auto"/>
          <w:lang w:eastAsia="pt-BR"/>
        </w:rPr>
        <w:t>contra toda sorte de</w:t>
      </w:r>
      <w:r w:rsidR="00B2190E" w:rsidRPr="00B2190E">
        <w:rPr>
          <w:rFonts w:eastAsia="Times New Roman"/>
          <w:noProof/>
          <w:color w:val="FF0000"/>
          <w:lang w:eastAsia="pt-BR"/>
        </w:rPr>
        <w:t xml:space="preserve"> </w:t>
      </w:r>
      <w:r>
        <w:rPr>
          <w:rFonts w:eastAsia="Times New Roman"/>
          <w:noProof/>
          <w:lang w:eastAsia="pt-BR"/>
        </w:rPr>
        <w:t xml:space="preserve">violência a Lei nº 11.340/06, conhecida popularmente como “Lei Maria da Penha”, que é o resultado da tramitação do caso Maria da Penha </w:t>
      </w:r>
      <w:r>
        <w:rPr>
          <w:rFonts w:eastAsia="Times New Roman"/>
          <w:noProof/>
          <w:lang w:eastAsia="pt-BR"/>
        </w:rPr>
        <w:lastRenderedPageBreak/>
        <w:t xml:space="preserve">versus Brasil na Comissão Interamericana de Direitos Humanos, no ano de 2001 conjuntamente com a atuação dos movimentos feministas. </w:t>
      </w:r>
    </w:p>
    <w:p w:rsidR="00FC71EA" w:rsidRDefault="00FC71EA" w:rsidP="009321AC">
      <w:pPr>
        <w:pStyle w:val="Default"/>
        <w:spacing w:line="360" w:lineRule="auto"/>
        <w:ind w:firstLine="851"/>
        <w:jc w:val="both"/>
        <w:rPr>
          <w:rFonts w:eastAsia="Times New Roman"/>
          <w:noProof/>
          <w:lang w:eastAsia="pt-BR"/>
        </w:rPr>
      </w:pPr>
      <w:r>
        <w:rPr>
          <w:rFonts w:eastAsia="Times New Roman"/>
          <w:noProof/>
          <w:lang w:eastAsia="pt-BR"/>
        </w:rPr>
        <w:t>O Brasil foi responsabilizado</w:t>
      </w:r>
      <w:r w:rsidR="00B2190E" w:rsidRPr="00BB51E2">
        <w:rPr>
          <w:rFonts w:eastAsia="Times New Roman"/>
          <w:noProof/>
          <w:color w:val="auto"/>
          <w:lang w:eastAsia="pt-BR"/>
        </w:rPr>
        <w:t>, na oportunidade,</w:t>
      </w:r>
      <w:r w:rsidRPr="00BB51E2">
        <w:rPr>
          <w:rFonts w:eastAsia="Times New Roman"/>
          <w:noProof/>
          <w:color w:val="auto"/>
          <w:lang w:eastAsia="pt-BR"/>
        </w:rPr>
        <w:t xml:space="preserve"> pela</w:t>
      </w:r>
      <w:r>
        <w:rPr>
          <w:rFonts w:eastAsia="Times New Roman"/>
          <w:noProof/>
          <w:lang w:eastAsia="pt-BR"/>
        </w:rPr>
        <w:t xml:space="preserve"> violação dos direitos às garantias judiciais e à proteção judicial, assegurados pelos artigos 8 e 25 da Convenção Americana</w:t>
      </w:r>
      <w:r w:rsidR="00B2190E" w:rsidRPr="00B2190E">
        <w:rPr>
          <w:rFonts w:eastAsia="Times New Roman"/>
          <w:noProof/>
          <w:color w:val="FF0000"/>
          <w:lang w:eastAsia="pt-BR"/>
        </w:rPr>
        <w:t>,</w:t>
      </w:r>
      <w:r>
        <w:rPr>
          <w:rFonts w:eastAsia="Times New Roman"/>
          <w:noProof/>
          <w:lang w:eastAsia="pt-BR"/>
        </w:rPr>
        <w:t xml:space="preserve"> em concordância com a obrigação geral de respeitar e garantir os direitos, prevista no artigo 1º do referido instrumento pela dilação injustificada e tramitação negligente do referido caso de violência doméstica no Brasil.</w:t>
      </w:r>
    </w:p>
    <w:p w:rsidR="00B2190E" w:rsidRDefault="00D02DB4" w:rsidP="009321AC">
      <w:pPr>
        <w:pStyle w:val="Default"/>
        <w:spacing w:line="360" w:lineRule="auto"/>
        <w:ind w:firstLine="851"/>
        <w:jc w:val="both"/>
      </w:pPr>
      <w:r>
        <w:t xml:space="preserve">Em 22 de Setembro de 2006 foi promulgada a lei 11.340 que se instituiu mediante a história de violência causada </w:t>
      </w:r>
      <w:r w:rsidR="0007761C">
        <w:t>à</w:t>
      </w:r>
      <w:r>
        <w:t xml:space="preserve"> brasileira Maria da Penha Maia Fernandes. Em 1983, seu ex</w:t>
      </w:r>
      <w:r w:rsidR="00B16C45">
        <w:t>-</w:t>
      </w:r>
      <w:r>
        <w:t>marido o professor universitário e economista Marcos Viveiros</w:t>
      </w:r>
      <w:r w:rsidR="0007761C">
        <w:t>,</w:t>
      </w:r>
      <w:r>
        <w:t xml:space="preserve"> atentou contra sua vida, sendo duas tentativas de homicídio, uma com um tiro em suas costas enquanto dormia e a outra ao tentar eletrocutá-la no banho. Com essa tamanha atrocidade, Maria da Penha perdeu os movimentos das pernas ficando paraplégica, presa a uma cadeira de rodas e adquiriu outras sequelas a sua saúde. </w:t>
      </w:r>
    </w:p>
    <w:p w:rsidR="00D02DB4" w:rsidRPr="00B2190E" w:rsidRDefault="00D02DB4" w:rsidP="009321AC">
      <w:pPr>
        <w:pStyle w:val="Default"/>
        <w:spacing w:line="360" w:lineRule="auto"/>
        <w:ind w:firstLine="851"/>
        <w:jc w:val="both"/>
        <w:rPr>
          <w:rFonts w:eastAsia="Times New Roman"/>
          <w:noProof/>
          <w:color w:val="FF0000"/>
          <w:lang w:eastAsia="pt-BR"/>
        </w:rPr>
      </w:pPr>
      <w:r>
        <w:t>Diante da impunidade do crime, Maria da Penha recorreu à Comissão de Direitos Humanos solicitando que a Justiça brasileira tomasse uma decisão definitiva diante das ag</w:t>
      </w:r>
      <w:r w:rsidR="0007761C">
        <w:t xml:space="preserve">ressões contínuas que sofria. Em </w:t>
      </w:r>
      <w:r>
        <w:t>2001, o Brasil foi condenado pela Comissão por omissão e impunidade no caso de violência contra as mulheres, e a lei foi finalmente criada.</w:t>
      </w:r>
    </w:p>
    <w:p w:rsidR="00B2190E" w:rsidRDefault="00FC71EA" w:rsidP="009321AC">
      <w:pPr>
        <w:pStyle w:val="Default"/>
        <w:spacing w:line="360" w:lineRule="auto"/>
        <w:ind w:firstLine="851"/>
        <w:jc w:val="both"/>
        <w:rPr>
          <w:rFonts w:eastAsia="Times New Roman"/>
          <w:noProof/>
          <w:lang w:eastAsia="pt-BR"/>
        </w:rPr>
      </w:pPr>
      <w:r>
        <w:rPr>
          <w:rFonts w:eastAsia="Times New Roman"/>
          <w:noProof/>
          <w:lang w:eastAsia="pt-BR"/>
        </w:rPr>
        <w:t>O Estado violou os direitos e o cumprimento de seus deveres segundo o artigo 7º  da Convenção de Belém do Pará</w:t>
      </w:r>
      <w:r w:rsidR="00B2190E" w:rsidRPr="00B2190E">
        <w:rPr>
          <w:rFonts w:eastAsia="Times New Roman"/>
          <w:noProof/>
          <w:color w:val="FF0000"/>
          <w:lang w:eastAsia="pt-BR"/>
        </w:rPr>
        <w:t>,</w:t>
      </w:r>
      <w:r>
        <w:rPr>
          <w:rFonts w:eastAsia="Times New Roman"/>
          <w:noProof/>
          <w:lang w:eastAsia="pt-BR"/>
        </w:rPr>
        <w:t xml:space="preserve"> que condena “todas as formas de violência contra a mulher e convêm em adotar, por todos os meios apropriados e sem demora, políticas destinadas a prevenir, punir e erradicar tal violência”, por seus próprios atos omissivos e tolerantes da violação infligida. </w:t>
      </w:r>
    </w:p>
    <w:p w:rsidR="00FC71EA" w:rsidRDefault="00FC71EA" w:rsidP="009321AC">
      <w:pPr>
        <w:pStyle w:val="Default"/>
        <w:spacing w:line="360" w:lineRule="auto"/>
        <w:ind w:firstLine="851"/>
        <w:jc w:val="both"/>
        <w:rPr>
          <w:rFonts w:eastAsia="Times New Roman"/>
          <w:noProof/>
          <w:lang w:eastAsia="pt-BR"/>
        </w:rPr>
      </w:pPr>
      <w:r>
        <w:rPr>
          <w:rFonts w:eastAsia="Times New Roman"/>
          <w:noProof/>
          <w:lang w:eastAsia="pt-BR"/>
        </w:rPr>
        <w:t>Doravante, o Brasil iniciou um processo de revisão de estratégias e políticas públicas de defesa dos direitos das mulheres</w:t>
      </w:r>
      <w:r w:rsidR="0007761C">
        <w:rPr>
          <w:rFonts w:eastAsia="Times New Roman"/>
          <w:noProof/>
          <w:lang w:eastAsia="pt-BR"/>
        </w:rPr>
        <w:t xml:space="preserve">, com o objetivo de processar, </w:t>
      </w:r>
      <w:r>
        <w:rPr>
          <w:rFonts w:eastAsia="Times New Roman"/>
          <w:noProof/>
          <w:lang w:eastAsia="pt-BR"/>
        </w:rPr>
        <w:t xml:space="preserve">condenar, </w:t>
      </w:r>
      <w:r w:rsidR="0007761C">
        <w:rPr>
          <w:rFonts w:eastAsia="Times New Roman"/>
          <w:noProof/>
          <w:lang w:eastAsia="pt-BR"/>
        </w:rPr>
        <w:t>e</w:t>
      </w:r>
      <w:r>
        <w:rPr>
          <w:rFonts w:eastAsia="Times New Roman"/>
          <w:noProof/>
          <w:lang w:eastAsia="pt-BR"/>
        </w:rPr>
        <w:t xml:space="preserve"> prevenir essas práticas degradantes contra suas cidadãs, e, dentre algumas das medidas necessárias adotadas, pode-se ressaltar a criação da lei supracitada como um dos mais relevantes avanços legislativos no comba</w:t>
      </w:r>
      <w:r w:rsidR="0007761C">
        <w:rPr>
          <w:rFonts w:eastAsia="Times New Roman"/>
          <w:noProof/>
          <w:lang w:eastAsia="pt-BR"/>
        </w:rPr>
        <w:t>te à violência contra a mulher.</w:t>
      </w:r>
    </w:p>
    <w:p w:rsidR="00FC71EA" w:rsidRPr="000C678C" w:rsidRDefault="00FC71EA" w:rsidP="009321AC">
      <w:pPr>
        <w:pStyle w:val="FG9corpodotexto"/>
        <w:rPr>
          <w:szCs w:val="24"/>
          <w:shd w:val="clear" w:color="auto" w:fill="FFFFFF"/>
        </w:rPr>
      </w:pPr>
      <w:r w:rsidRPr="000C678C">
        <w:rPr>
          <w:szCs w:val="24"/>
          <w:shd w:val="clear" w:color="auto" w:fill="FFFFFF"/>
        </w:rPr>
        <w:t xml:space="preserve">O Caso Maria da Penha foi o primeiro de aplicação da Convenção de Belém do Pará. A utilização </w:t>
      </w:r>
      <w:r w:rsidRPr="00BB51E2">
        <w:rPr>
          <w:szCs w:val="24"/>
          <w:shd w:val="clear" w:color="auto" w:fill="FFFFFF"/>
        </w:rPr>
        <w:t>des</w:t>
      </w:r>
      <w:r w:rsidR="00B2190E" w:rsidRPr="00BB51E2">
        <w:rPr>
          <w:szCs w:val="24"/>
          <w:shd w:val="clear" w:color="auto" w:fill="FFFFFF"/>
        </w:rPr>
        <w:t>t</w:t>
      </w:r>
      <w:r w:rsidRPr="00BB51E2">
        <w:rPr>
          <w:szCs w:val="24"/>
          <w:shd w:val="clear" w:color="auto" w:fill="FFFFFF"/>
        </w:rPr>
        <w:t>e</w:t>
      </w:r>
      <w:r w:rsidRPr="000C678C">
        <w:rPr>
          <w:szCs w:val="24"/>
          <w:shd w:val="clear" w:color="auto" w:fill="FFFFFF"/>
        </w:rPr>
        <w:t xml:space="preserve"> instrumento internacional de grande relevância para a proteção e promoção dos direitos humanos das mulheres e o seguimento das peticionarias perante a </w:t>
      </w:r>
      <w:r w:rsidR="00B2190E" w:rsidRPr="00BB51E2">
        <w:rPr>
          <w:rFonts w:eastAsia="Times New Roman"/>
          <w:noProof/>
          <w:lang w:eastAsia="pt-BR"/>
        </w:rPr>
        <w:t>Comissão Interamericana de Direitos Humanos</w:t>
      </w:r>
      <w:r w:rsidR="00B2190E" w:rsidRPr="000C678C">
        <w:rPr>
          <w:szCs w:val="24"/>
          <w:shd w:val="clear" w:color="auto" w:fill="FFFFFF"/>
        </w:rPr>
        <w:t xml:space="preserve"> </w:t>
      </w:r>
      <w:r w:rsidRPr="000C678C">
        <w:rPr>
          <w:szCs w:val="24"/>
          <w:shd w:val="clear" w:color="auto" w:fill="FFFFFF"/>
        </w:rPr>
        <w:t xml:space="preserve">sobre o cumprimento da decisão pelo Estado brasileiro, foram decisivas para que o processo fosse concluído em âmbito </w:t>
      </w:r>
      <w:r w:rsidRPr="000C678C">
        <w:rPr>
          <w:szCs w:val="24"/>
          <w:shd w:val="clear" w:color="auto" w:fill="FFFFFF"/>
        </w:rPr>
        <w:lastRenderedPageBreak/>
        <w:t xml:space="preserve">nacional e, posteriormente, para que o agressor fosse levado à prisão em outubro de 2002. </w:t>
      </w:r>
    </w:p>
    <w:p w:rsidR="00FC71EA" w:rsidRDefault="00FC71EA" w:rsidP="009321AC">
      <w:pPr>
        <w:pStyle w:val="Default"/>
        <w:spacing w:line="360" w:lineRule="auto"/>
        <w:ind w:firstLine="851"/>
        <w:jc w:val="both"/>
      </w:pPr>
      <w:r>
        <w:rPr>
          <w:rFonts w:eastAsia="Times New Roman"/>
          <w:noProof/>
          <w:lang w:eastAsia="pt-BR"/>
        </w:rPr>
        <w:t>Atualmente, além do Estado brasileiro, outros 14 países na América Latina possuem legislação que versam sobre o crime de feminicidio</w:t>
      </w:r>
      <w:r w:rsidR="0007761C">
        <w:rPr>
          <w:rFonts w:eastAsia="Times New Roman"/>
          <w:noProof/>
          <w:lang w:eastAsia="pt-BR"/>
        </w:rPr>
        <w:t xml:space="preserve">. </w:t>
      </w:r>
      <w:r>
        <w:t>Note-se que, dentre os estados que possuem tipificação do feminicídio, constatam-se estratégias legislativas contemporâneas, como, a aprovação exclusivamente de uma lei especial, a realização de reforma do Código Penal ou a adoção de lei especial e reforma do Código Penal, concomitantemente (</w:t>
      </w:r>
      <w:r>
        <w:rPr>
          <w:rFonts w:eastAsia="Times New Roman"/>
          <w:noProof/>
          <w:lang w:eastAsia="pt-BR"/>
        </w:rPr>
        <w:t>MARTA MACHADO, 2015, p. 19).</w:t>
      </w:r>
    </w:p>
    <w:p w:rsidR="00FC71EA" w:rsidRDefault="00FC71EA" w:rsidP="009321AC">
      <w:pPr>
        <w:pStyle w:val="Default"/>
        <w:spacing w:line="360" w:lineRule="auto"/>
        <w:ind w:firstLine="851"/>
        <w:jc w:val="both"/>
      </w:pPr>
      <w:r>
        <w:t xml:space="preserve">A problemática da violência de gênero resultante em assassinatos de mulheres, entrou em evidência, na américa-latina, nos anos 90. A partir do crescimento do número de denúncias pelas vítimas, ou pelo movimento feminista, procedimentos de combate a essa violência, retorno à população, e tentativas de resoluções foram sendo aplicadas, paulatinamente, pelos governos. Para Marcela Lagarde: </w:t>
      </w:r>
    </w:p>
    <w:p w:rsidR="00FC71EA" w:rsidRDefault="00FC71EA" w:rsidP="009321AC">
      <w:pPr>
        <w:pStyle w:val="Default"/>
        <w:spacing w:line="360" w:lineRule="auto"/>
        <w:ind w:left="708"/>
        <w:jc w:val="both"/>
        <w:rPr>
          <w:rFonts w:eastAsia="Times New Roman"/>
          <w:noProof/>
          <w:sz w:val="20"/>
          <w:lang w:eastAsia="pt-BR"/>
        </w:rPr>
      </w:pPr>
    </w:p>
    <w:p w:rsidR="00FC71EA" w:rsidRDefault="00FC71EA" w:rsidP="0007761C">
      <w:pPr>
        <w:pStyle w:val="Default"/>
        <w:ind w:left="2268"/>
        <w:jc w:val="both"/>
        <w:rPr>
          <w:rFonts w:eastAsia="Times New Roman"/>
          <w:noProof/>
          <w:sz w:val="22"/>
          <w:lang w:eastAsia="pt-BR"/>
        </w:rPr>
      </w:pPr>
      <w:r>
        <w:rPr>
          <w:rFonts w:eastAsia="Times New Roman"/>
          <w:noProof/>
          <w:sz w:val="22"/>
          <w:lang w:eastAsia="pt-BR"/>
        </w:rPr>
        <w:t>A violência de gênero é a violência misógina contra as mulheres pelo fato de serem mulheres, situadas em relações de desigualdade de gênero: opressão, exclusão, subordinação, discriminação, exploração e marginalização. As mulheres são vítimas de ameaças, agressões, maus-tratos, lesões e danos misóginos. As modalidades de violência de gênero são: familiar, na comunidade, institucional e feminicida. (LAGARDE,2007, p. 33)</w:t>
      </w:r>
    </w:p>
    <w:p w:rsidR="00FC71EA" w:rsidRDefault="00FC71EA" w:rsidP="009321AC">
      <w:pPr>
        <w:pStyle w:val="Default"/>
        <w:spacing w:line="360" w:lineRule="auto"/>
        <w:ind w:left="2268"/>
        <w:jc w:val="both"/>
        <w:rPr>
          <w:rFonts w:eastAsia="Times New Roman"/>
          <w:noProof/>
          <w:sz w:val="22"/>
          <w:lang w:eastAsia="pt-BR"/>
        </w:rPr>
      </w:pPr>
    </w:p>
    <w:p w:rsidR="008D67AA" w:rsidRDefault="00FC71EA" w:rsidP="009321AC">
      <w:pPr>
        <w:pStyle w:val="Default"/>
        <w:spacing w:line="360" w:lineRule="auto"/>
        <w:ind w:firstLine="851"/>
        <w:jc w:val="both"/>
      </w:pPr>
      <w:r>
        <w:t xml:space="preserve"> Mais da metade dos homicídios de mulheres são motivados pela </w:t>
      </w:r>
      <w:r w:rsidR="00B2190E" w:rsidRPr="00BB51E2">
        <w:rPr>
          <w:color w:val="auto"/>
        </w:rPr>
        <w:t>discriminação</w:t>
      </w:r>
      <w:r>
        <w:t xml:space="preserve"> ao gênero</w:t>
      </w:r>
      <w:r w:rsidR="00BB51E2">
        <w:t xml:space="preserve">, </w:t>
      </w:r>
      <w:r>
        <w:t xml:space="preserve">sendo que este crime, em sua maioria, é cometido em ambiente familiar, fruto da violência doméstica. A violência doméstica sempre foi tratada como tabu, por se tratar de questão intrínseca à família e advindo de relações amorosas, tinha-se o pensamento de não se envolver nem criticar certos comportamentos do homem, que era tido como dono de sua esposa, refletindo a superioridade masculina. Tal superioridade culmina em modalidade de crime, muito utilizada como argumento nos diversos casos de Tribunal do Júri, denominada </w:t>
      </w:r>
      <w:r w:rsidRPr="00B2190E">
        <w:rPr>
          <w:i/>
        </w:rPr>
        <w:t>crime passional</w:t>
      </w:r>
      <w:r>
        <w:t xml:space="preserve">. </w:t>
      </w:r>
    </w:p>
    <w:p w:rsidR="00FC71EA" w:rsidRPr="008D3E83" w:rsidRDefault="00FC71EA" w:rsidP="009321AC">
      <w:pPr>
        <w:pStyle w:val="Default"/>
        <w:spacing w:line="360" w:lineRule="auto"/>
        <w:ind w:firstLine="851"/>
        <w:jc w:val="both"/>
      </w:pPr>
      <w:r w:rsidRPr="008D3E83">
        <w:t>Frente à brutalidade e o caráter sexista dos crimes, no Brasil, iniciou-se discussões sobre a tipificação do feminicídio como crime, em março de 2015, o Congresso Nacional aprovou e o Poder Executivo Federal sancionou no país a “</w:t>
      </w:r>
      <w:r w:rsidR="008D67AA">
        <w:t>Lei de Tipificação do F</w:t>
      </w:r>
      <w:r w:rsidRPr="008D3E83">
        <w:t>eminicídio” (Lei 1304/15), que reconheceu o feminicídio como homicídio qualificado e o incluiu no rol dos crimes hediondos, alterando a redação do art. 121, § 2º do Código Penal Brasileiro (1940), acrescendo a este o inciso VI; o § 2º-A, I e II, e, o § 7º, I, II e III.</w:t>
      </w:r>
    </w:p>
    <w:p w:rsidR="00FC71EA" w:rsidRPr="00F4163B" w:rsidRDefault="00FC71EA" w:rsidP="00A17F47">
      <w:pPr>
        <w:pStyle w:val="FG11-titulo2"/>
        <w:rPr>
          <w:i w:val="0"/>
          <w:szCs w:val="24"/>
        </w:rPr>
      </w:pPr>
      <w:r w:rsidRPr="009037E2">
        <w:rPr>
          <w:i w:val="0"/>
          <w:szCs w:val="24"/>
        </w:rPr>
        <w:lastRenderedPageBreak/>
        <w:t>1.</w:t>
      </w:r>
      <w:r>
        <w:rPr>
          <w:i w:val="0"/>
          <w:szCs w:val="24"/>
        </w:rPr>
        <w:t>3</w:t>
      </w:r>
      <w:r w:rsidRPr="009037E2">
        <w:rPr>
          <w:i w:val="0"/>
          <w:szCs w:val="24"/>
        </w:rPr>
        <w:t xml:space="preserve"> </w:t>
      </w:r>
      <w:r>
        <w:rPr>
          <w:i w:val="0"/>
          <w:szCs w:val="24"/>
        </w:rPr>
        <w:t>Homicídio e o direito à vida.</w:t>
      </w:r>
      <w:r w:rsidR="00107BB2">
        <w:rPr>
          <w:i w:val="0"/>
          <w:szCs w:val="24"/>
        </w:rPr>
        <w:t xml:space="preserve"> </w:t>
      </w:r>
    </w:p>
    <w:p w:rsidR="00FC71EA" w:rsidRPr="008C2434" w:rsidRDefault="00FC71EA" w:rsidP="009321AC">
      <w:pPr>
        <w:pStyle w:val="FG9corpodotexto"/>
        <w:rPr>
          <w:szCs w:val="24"/>
        </w:rPr>
      </w:pPr>
      <w:r w:rsidRPr="008C2434">
        <w:rPr>
          <w:szCs w:val="24"/>
        </w:rPr>
        <w:t xml:space="preserve">Como mencionado no tópico anterior, o feminicídio foi instituído como qualificadora do homicídio. Entretanto, para poder compreender melhor essa qualificadora, </w:t>
      </w:r>
      <w:r w:rsidRPr="00BB51E2">
        <w:rPr>
          <w:szCs w:val="24"/>
        </w:rPr>
        <w:t>faz</w:t>
      </w:r>
      <w:r w:rsidR="00107BB2" w:rsidRPr="00BB51E2">
        <w:rPr>
          <w:szCs w:val="24"/>
        </w:rPr>
        <w:t>-se</w:t>
      </w:r>
      <w:r w:rsidRPr="00BB51E2">
        <w:rPr>
          <w:szCs w:val="24"/>
        </w:rPr>
        <w:t xml:space="preserve"> necessário</w:t>
      </w:r>
      <w:r w:rsidR="00107BB2" w:rsidRPr="00BB51E2">
        <w:rPr>
          <w:szCs w:val="24"/>
        </w:rPr>
        <w:t>, antes de tudo,</w:t>
      </w:r>
      <w:r w:rsidRPr="00BB51E2">
        <w:rPr>
          <w:szCs w:val="24"/>
        </w:rPr>
        <w:t xml:space="preserve"> </w:t>
      </w:r>
      <w:r w:rsidR="00107BB2" w:rsidRPr="00BB51E2">
        <w:rPr>
          <w:szCs w:val="24"/>
        </w:rPr>
        <w:t xml:space="preserve">analisar a estrutura normativa </w:t>
      </w:r>
      <w:r w:rsidRPr="00BB51E2">
        <w:rPr>
          <w:szCs w:val="24"/>
        </w:rPr>
        <w:t xml:space="preserve">do </w:t>
      </w:r>
      <w:r w:rsidR="00107BB2" w:rsidRPr="00BB51E2">
        <w:rPr>
          <w:szCs w:val="24"/>
        </w:rPr>
        <w:t xml:space="preserve">preceito primário do </w:t>
      </w:r>
      <w:r w:rsidRPr="00BB51E2">
        <w:rPr>
          <w:szCs w:val="24"/>
        </w:rPr>
        <w:t>tipo penal do homicídio.</w:t>
      </w:r>
      <w:r w:rsidRPr="008C2434">
        <w:rPr>
          <w:szCs w:val="24"/>
        </w:rPr>
        <w:t xml:space="preserve"> </w:t>
      </w:r>
    </w:p>
    <w:p w:rsidR="00FC71EA" w:rsidRPr="00A17F47" w:rsidRDefault="00A17F47" w:rsidP="009321AC">
      <w:pPr>
        <w:pStyle w:val="FG9corpodotexto"/>
        <w:rPr>
          <w:szCs w:val="24"/>
        </w:rPr>
      </w:pPr>
      <w:r>
        <w:rPr>
          <w:szCs w:val="24"/>
        </w:rPr>
        <w:t xml:space="preserve"> Esse está consagrado no artigo 5º, </w:t>
      </w:r>
      <w:r>
        <w:rPr>
          <w:i/>
          <w:szCs w:val="24"/>
        </w:rPr>
        <w:t>caput</w:t>
      </w:r>
      <w:r>
        <w:rPr>
          <w:szCs w:val="24"/>
        </w:rPr>
        <w:t xml:space="preserve">, da Constituição Federal de 1988 e possui o </w:t>
      </w:r>
      <w:r>
        <w:rPr>
          <w:i/>
          <w:szCs w:val="24"/>
        </w:rPr>
        <w:t>status</w:t>
      </w:r>
      <w:r>
        <w:rPr>
          <w:szCs w:val="24"/>
        </w:rPr>
        <w:t xml:space="preserve"> de direito fundamental dos seres humanos. Por ser visto como direito </w:t>
      </w:r>
      <w:r w:rsidR="008D67AA">
        <w:rPr>
          <w:szCs w:val="24"/>
        </w:rPr>
        <w:t>humano inerente</w:t>
      </w:r>
      <w:r>
        <w:rPr>
          <w:szCs w:val="24"/>
        </w:rPr>
        <w:t xml:space="preserve"> a todos os indivíduos, possui a característica de ser um direito supraestatal, ou seja, é formalmente e materialmente constitucional. Tal característica define o direito à vida como uma norma constitucional tendo ou não previsão positivada no ordenamento jurídico, exatamente por ser inerente aos seres humanos, dentro da característica de universalidade desses direitos (MASSON, 2014, p.10).</w:t>
      </w:r>
    </w:p>
    <w:p w:rsidR="00FC71EA" w:rsidRPr="008C2434" w:rsidRDefault="00FC71EA" w:rsidP="009321AC">
      <w:pPr>
        <w:pStyle w:val="FG9corpodotexto"/>
        <w:rPr>
          <w:szCs w:val="24"/>
        </w:rPr>
      </w:pPr>
      <w:r w:rsidRPr="008C2434">
        <w:rPr>
          <w:szCs w:val="24"/>
        </w:rPr>
        <w:t xml:space="preserve">Assim como os demais direitos e garantias individuais, o direito à vida não é absoluto, a sua relatividade diz respeito a limitações que possa </w:t>
      </w:r>
      <w:r w:rsidR="008D67AA" w:rsidRPr="008C2434">
        <w:rPr>
          <w:szCs w:val="24"/>
        </w:rPr>
        <w:t>sofrer</w:t>
      </w:r>
      <w:r w:rsidRPr="008C2434">
        <w:rPr>
          <w:szCs w:val="24"/>
        </w:rPr>
        <w:t xml:space="preserve"> desde que não seja discricionária e possam ser amparadas por interesses maiores do Estado ou até mesmo de outro ser humano. </w:t>
      </w:r>
    </w:p>
    <w:p w:rsidR="00A17F47" w:rsidRDefault="00A17F47" w:rsidP="009321AC">
      <w:pPr>
        <w:pStyle w:val="FG9corpodotexto"/>
      </w:pPr>
      <w:r>
        <w:t>Entretanto, em não se tratando de exceção delimitada pelas normas jurídicas, aplica-se a proibição contida no crime de homicídio, tipificado no art. 121 CP. Homicídio, então, é conceituado como “[...] a supressão da vida humana extrauterina praticada por outra pessoa.” (MASSON, 2014, p. 13), configurando-se vida extrauterina o simples nascimento com vida, quando há o início de um processo respiratório autônomo no organismo da pessoa que nasce, pouco importando se há a possibilidade dessa se manter viva ou não.</w:t>
      </w:r>
    </w:p>
    <w:p w:rsidR="00A17F47" w:rsidRDefault="00FC71EA" w:rsidP="009321AC">
      <w:pPr>
        <w:pStyle w:val="FG9corpodotexto"/>
        <w:rPr>
          <w:szCs w:val="24"/>
        </w:rPr>
      </w:pPr>
      <w:r w:rsidRPr="008C2434">
        <w:rPr>
          <w:szCs w:val="24"/>
        </w:rPr>
        <w:t>Trata-se de crime comum, ou seja, o seu sujeito ativo não precisa de características especiais para consumá-lo, pode ser praticado por qualquer pessoa, bem como, o sujeito passivo pode ser qualquer pessoa humana, após o nascimento e desde que e</w:t>
      </w:r>
      <w:r w:rsidR="00A17F47">
        <w:rPr>
          <w:szCs w:val="24"/>
        </w:rPr>
        <w:t>steja viva</w:t>
      </w:r>
      <w:r w:rsidRPr="008C2434">
        <w:rPr>
          <w:szCs w:val="24"/>
        </w:rPr>
        <w:t>.</w:t>
      </w:r>
    </w:p>
    <w:p w:rsidR="00FC71EA" w:rsidRDefault="00FC71EA" w:rsidP="009321AC">
      <w:pPr>
        <w:pStyle w:val="FG9corpodotexto"/>
      </w:pPr>
      <w:r w:rsidRPr="008C2434">
        <w:rPr>
          <w:szCs w:val="24"/>
        </w:rPr>
        <w:t xml:space="preserve"> </w:t>
      </w:r>
      <w:r w:rsidR="00255428">
        <w:t xml:space="preserve">O crime de homicídio pode ser praticado por qualquer pessoa, sendo crime comum, e seu elemento subjetivo é o animus necandi ou animus occidendi, sendo o ânimo de matar determinada pessoa. Sua consumação, assim, ocorre com a morte, sendo crime material. </w:t>
      </w:r>
    </w:p>
    <w:p w:rsidR="00255428" w:rsidRDefault="00255428" w:rsidP="009321AC">
      <w:pPr>
        <w:pStyle w:val="FG9corpodotexto"/>
      </w:pPr>
      <w:r>
        <w:t>O homicídio privilegiado está previsto no art. 121, § 1</w:t>
      </w:r>
      <w:r w:rsidR="000C736C">
        <w:t>º,</w:t>
      </w:r>
      <w:r>
        <w:t xml:space="preserve"> CP e ocorre quando o agente pratica o crime acometido por motivo de relevante valor moral ou social ou, </w:t>
      </w:r>
      <w:r>
        <w:lastRenderedPageBreak/>
        <w:t xml:space="preserve">ainda, sob </w:t>
      </w:r>
      <w:r w:rsidR="000C736C">
        <w:t xml:space="preserve">o </w:t>
      </w:r>
      <w:r>
        <w:t xml:space="preserve">domínio de violenta emoção logo em seguida a injusta provocação da vítima. A nomenclatura de “privilégio” é construção doutrinária e jurisprudencial, posto que se trata de causa de diminuição de pena por prever a redução de um sexto a um terço. </w:t>
      </w:r>
    </w:p>
    <w:p w:rsidR="00255428" w:rsidRDefault="00255428" w:rsidP="009321AC">
      <w:pPr>
        <w:pStyle w:val="FG9corpodotexto"/>
      </w:pPr>
      <w:r>
        <w:t>As hipóteses de privilégio são constituídas por caráter subjetivo, pois se relacionam com uma motivação interna do agente e não com o fato. Por ter tal caráter, são incomunicáveis a eventuais coautores ou partícipes, conforme art. 30 CP.</w:t>
      </w:r>
    </w:p>
    <w:p w:rsidR="000C736C" w:rsidRDefault="00255428" w:rsidP="009321AC">
      <w:pPr>
        <w:pStyle w:val="FG9corpodotexto"/>
      </w:pPr>
      <w:r>
        <w:t>O tipo penal de homicídio qualificado ocorre quando das hipóteses do art. 121, § 2</w:t>
      </w:r>
      <w:r w:rsidR="000C736C">
        <w:t>º,</w:t>
      </w:r>
      <w:r>
        <w:t xml:space="preserve"> CP. Tais hipóteses se dividem em qualificadoras de natureza objetiva e qualificadoras de natureza subjetiva. Tem-se pacificado na doutrina que as qualificadoras dos incisos I, II, V são de índole subjetiva e as dos incisos III e IV de índole objetiva (CUNHA, 2014, p. 76</w:t>
      </w:r>
      <w:r w:rsidR="000C736C">
        <w:t>).</w:t>
      </w:r>
    </w:p>
    <w:p w:rsidR="00255428" w:rsidRDefault="00255428" w:rsidP="009321AC">
      <w:pPr>
        <w:pStyle w:val="FG9corpodotexto"/>
      </w:pPr>
      <w:r>
        <w:t>Também, como determina a doutrina majoritária, crime de homicídio privilegiado-qualificado não se classifica como hediondo por falta de previsão legal. De igual modo, o STJ já se manifestou nesse sentido, em sede do HC 153.728/SP, julgado em 2010.</w:t>
      </w:r>
    </w:p>
    <w:p w:rsidR="000C736C" w:rsidRPr="008C2434" w:rsidRDefault="000C736C" w:rsidP="009321AC">
      <w:pPr>
        <w:pStyle w:val="FG9corpodotexto"/>
        <w:rPr>
          <w:szCs w:val="24"/>
        </w:rPr>
      </w:pPr>
    </w:p>
    <w:p w:rsidR="00D02DB4" w:rsidRPr="00F4163B" w:rsidRDefault="009321AC" w:rsidP="009321AC">
      <w:pPr>
        <w:pStyle w:val="FG9corpodotexto"/>
        <w:ind w:firstLine="0"/>
        <w:rPr>
          <w:b/>
          <w:szCs w:val="24"/>
        </w:rPr>
      </w:pPr>
      <w:r w:rsidRPr="009037E2">
        <w:rPr>
          <w:b/>
          <w:szCs w:val="24"/>
        </w:rPr>
        <w:t>2</w:t>
      </w:r>
      <w:r w:rsidR="000C736C">
        <w:rPr>
          <w:b/>
          <w:szCs w:val="24"/>
        </w:rPr>
        <w:t>.</w:t>
      </w:r>
      <w:r w:rsidRPr="009037E2">
        <w:rPr>
          <w:b/>
          <w:szCs w:val="24"/>
        </w:rPr>
        <w:t xml:space="preserve"> </w:t>
      </w:r>
      <w:r>
        <w:rPr>
          <w:b/>
          <w:szCs w:val="24"/>
        </w:rPr>
        <w:t>TIPO PENAL DO HOMICÍDIO.</w:t>
      </w:r>
    </w:p>
    <w:p w:rsidR="009321AC" w:rsidRDefault="009321AC" w:rsidP="009321AC">
      <w:pPr>
        <w:spacing w:after="0" w:line="360" w:lineRule="auto"/>
        <w:ind w:firstLine="851"/>
        <w:jc w:val="both"/>
        <w:rPr>
          <w:rFonts w:ascii="Times New Roman" w:eastAsia="Times New Roman" w:hAnsi="Times New Roman"/>
          <w:noProof/>
          <w:sz w:val="24"/>
          <w:szCs w:val="24"/>
          <w:lang w:eastAsia="pt-BR"/>
        </w:rPr>
      </w:pPr>
      <w:r>
        <w:rPr>
          <w:rFonts w:ascii="Times New Roman" w:eastAsia="Times New Roman" w:hAnsi="Times New Roman"/>
          <w:noProof/>
          <w:sz w:val="24"/>
          <w:szCs w:val="24"/>
          <w:lang w:eastAsia="pt-BR"/>
        </w:rPr>
        <w:t>Neste item adentraremos na proposição do tipo penal do homicidio, posto que, é de suma importância para a compreensão da matéria principal, que será abordada posteriormente. O Homicídio é a morte de um indivíduo provocada por outro indivíduo. Impallomeni nos ensina que todos os direitos partem do direito de viver, sendo este, numa ordem lógica, o bem mais importante, desse modo, o homicídio tem excelência perante os crimes mais graves, já que é uma violação contra a ordem e segurança geral, posto que todos os bens públicos e privados</w:t>
      </w:r>
      <w:r w:rsidR="000C736C">
        <w:rPr>
          <w:rFonts w:ascii="Times New Roman" w:eastAsia="Times New Roman" w:hAnsi="Times New Roman"/>
          <w:noProof/>
          <w:sz w:val="24"/>
          <w:szCs w:val="24"/>
          <w:lang w:eastAsia="pt-BR"/>
        </w:rPr>
        <w:t>.</w:t>
      </w:r>
    </w:p>
    <w:p w:rsidR="009321AC" w:rsidRDefault="009321AC" w:rsidP="009321AC">
      <w:pPr>
        <w:spacing w:after="0" w:line="360" w:lineRule="auto"/>
        <w:ind w:firstLine="993"/>
        <w:jc w:val="both"/>
        <w:rPr>
          <w:rFonts w:ascii="Times New Roman" w:eastAsia="Times New Roman" w:hAnsi="Times New Roman"/>
          <w:noProof/>
          <w:sz w:val="24"/>
          <w:szCs w:val="24"/>
          <w:lang w:eastAsia="pt-BR"/>
        </w:rPr>
      </w:pPr>
      <w:r>
        <w:rPr>
          <w:rFonts w:ascii="Times New Roman" w:eastAsia="Times New Roman" w:hAnsi="Times New Roman"/>
          <w:noProof/>
          <w:sz w:val="24"/>
          <w:szCs w:val="24"/>
          <w:lang w:eastAsia="pt-BR"/>
        </w:rPr>
        <w:t xml:space="preserve">O Código Penal distingue várias modalidades de homicídio: simples (art. 121, caput), privilegiado (§ 1º), qualificado (§ 2º) e culposo (§ 3º). </w:t>
      </w:r>
    </w:p>
    <w:p w:rsidR="009321AC" w:rsidRPr="00807528" w:rsidRDefault="009321AC" w:rsidP="009321AC">
      <w:pPr>
        <w:pStyle w:val="FG9corpodotexto"/>
        <w:ind w:firstLine="0"/>
        <w:rPr>
          <w:b/>
          <w:szCs w:val="24"/>
        </w:rPr>
      </w:pPr>
    </w:p>
    <w:p w:rsidR="009321AC" w:rsidRPr="009037E2" w:rsidRDefault="009321AC" w:rsidP="009321AC">
      <w:pPr>
        <w:pStyle w:val="FG9corpodotexto"/>
        <w:ind w:firstLine="0"/>
        <w:rPr>
          <w:b/>
          <w:szCs w:val="24"/>
        </w:rPr>
      </w:pPr>
      <w:r w:rsidRPr="009037E2">
        <w:rPr>
          <w:b/>
          <w:szCs w:val="24"/>
        </w:rPr>
        <w:t xml:space="preserve">2.1 </w:t>
      </w:r>
      <w:r>
        <w:rPr>
          <w:b/>
          <w:szCs w:val="24"/>
        </w:rPr>
        <w:t>Feminicídio.</w:t>
      </w:r>
      <w:r w:rsidRPr="009037E2">
        <w:rPr>
          <w:b/>
          <w:szCs w:val="24"/>
        </w:rPr>
        <w:t xml:space="preserve"> </w:t>
      </w:r>
    </w:p>
    <w:p w:rsidR="009321AC" w:rsidRPr="00F979DF" w:rsidRDefault="00247CDB" w:rsidP="009321AC">
      <w:pPr>
        <w:pStyle w:val="FG9corpodotexto"/>
        <w:rPr>
          <w:szCs w:val="24"/>
        </w:rPr>
      </w:pPr>
      <w:r>
        <w:rPr>
          <w:szCs w:val="24"/>
        </w:rPr>
        <w:t xml:space="preserve">Devido </w:t>
      </w:r>
      <w:r w:rsidR="00D02DB4">
        <w:rPr>
          <w:szCs w:val="24"/>
        </w:rPr>
        <w:t>à</w:t>
      </w:r>
      <w:r>
        <w:rPr>
          <w:szCs w:val="24"/>
        </w:rPr>
        <w:t xml:space="preserve"> historicidade dos casos de violência contra a mulher e, ainda, aos recorrentes abusos e aumento destes casos atualmente, assim como abordado no primeiro tópico do presente artigo, instituiu-se a nova qualificadora do crime de homicídio, qual seja, o feminicídio, quando editada a Lei nº 13.104, de março de 2015, expandindo o rol de normas protetivas às mulheres em situação de </w:t>
      </w:r>
      <w:r w:rsidR="00D84115">
        <w:rPr>
          <w:szCs w:val="24"/>
        </w:rPr>
        <w:t>violência</w:t>
      </w:r>
      <w:r w:rsidR="009321AC" w:rsidRPr="00F979DF">
        <w:rPr>
          <w:szCs w:val="24"/>
        </w:rPr>
        <w:t>.</w:t>
      </w:r>
    </w:p>
    <w:p w:rsidR="00A32428" w:rsidRPr="00D84115" w:rsidRDefault="00247CDB" w:rsidP="00D84115">
      <w:pPr>
        <w:pStyle w:val="FG9corpodotexto"/>
        <w:rPr>
          <w:szCs w:val="24"/>
        </w:rPr>
      </w:pPr>
      <w:r>
        <w:rPr>
          <w:szCs w:val="24"/>
        </w:rPr>
        <w:lastRenderedPageBreak/>
        <w:t xml:space="preserve">O processo de tipificação da Lei </w:t>
      </w:r>
      <w:r w:rsidR="00D84115">
        <w:rPr>
          <w:szCs w:val="24"/>
        </w:rPr>
        <w:t xml:space="preserve">do </w:t>
      </w:r>
      <w:proofErr w:type="spellStart"/>
      <w:r w:rsidR="00D84115">
        <w:rPr>
          <w:szCs w:val="24"/>
        </w:rPr>
        <w:t>F</w:t>
      </w:r>
      <w:r>
        <w:rPr>
          <w:szCs w:val="24"/>
        </w:rPr>
        <w:t>eminicídio</w:t>
      </w:r>
      <w:proofErr w:type="spellEnd"/>
      <w:r>
        <w:rPr>
          <w:szCs w:val="24"/>
        </w:rPr>
        <w:t xml:space="preserve">, como ficou </w:t>
      </w:r>
      <w:r w:rsidR="00726DAD">
        <w:rPr>
          <w:szCs w:val="24"/>
        </w:rPr>
        <w:t>conhecido</w:t>
      </w:r>
      <w:r>
        <w:rPr>
          <w:szCs w:val="24"/>
        </w:rPr>
        <w:t>, no Brasil, se deu com a Comissão Parlamentar Mista de Inquérito (CPMI), que investigou a violência contra a mulher, em sua justificaç</w:t>
      </w:r>
      <w:r w:rsidR="00D84115">
        <w:rPr>
          <w:szCs w:val="24"/>
        </w:rPr>
        <w:t>ão apresentou que “[...] a Lei Maria da Penha</w:t>
      </w:r>
      <w:r>
        <w:rPr>
          <w:szCs w:val="24"/>
        </w:rPr>
        <w:t xml:space="preserve"> deve ser vista, no entanto, com um ponto de partida, e não de chegada, na luta pela igualdade de gênero e pela universalização dos direitos humanos. Uma das continuações necessárias dessa trajetória é o combate ao feminicídio” (Brasil, 2013, p. 1003). </w:t>
      </w:r>
    </w:p>
    <w:p w:rsidR="009321AC" w:rsidRPr="00F979DF" w:rsidRDefault="00A32428" w:rsidP="009321AC">
      <w:pPr>
        <w:pStyle w:val="FG11-corpo-do-texto"/>
        <w:ind w:firstLine="708"/>
        <w:rPr>
          <w:szCs w:val="24"/>
        </w:rPr>
      </w:pPr>
      <w:r>
        <w:rPr>
          <w:szCs w:val="24"/>
        </w:rPr>
        <w:t xml:space="preserve">Consoante ao Código Penal, o feminicídio é “o assassinato de uma mulher cometido por razões da condição de sexo feminino”, ou seja, quando o crime envolve violência domestica familiar e/ou menosprezo ou discriminação à condição de mulher. Os homicídios qualificados preveem pena de 12 a 30 anos de reclusão, conforme tipifica o artigo 121, §2º, do Código Penal. Ao incorporar o feminicidio como hipótese qualificadora, o felito foi adicionado ao rol dos crimes hediondos, juntamente com os crimes de estupro, genocídio, latrocínio e os demais crimes previstos na Lei dos Crimes Hediondos (Lei nº 8.072/1990). </w:t>
      </w:r>
    </w:p>
    <w:p w:rsidR="009321AC" w:rsidRPr="00A32428" w:rsidRDefault="00A32428" w:rsidP="003D254F">
      <w:pPr>
        <w:pStyle w:val="FG11-corpo-do-texto"/>
        <w:rPr>
          <w:szCs w:val="24"/>
        </w:rPr>
      </w:pPr>
      <w:r>
        <w:rPr>
          <w:szCs w:val="24"/>
        </w:rPr>
        <w:t xml:space="preserve">Quanto ao sujeito ativo, o crime de feminicídio se trata de um crime comum, podendo ser cometido por qualquer pessoa, sendo homem ou mulher seus agentes, isoladamente ou em concurso de pessoas. Já em relação ao sujeito passivo, obrigatoriamente será a mulher, por se tratar a respeito de crime de gênero. </w:t>
      </w:r>
    </w:p>
    <w:p w:rsidR="009321AC" w:rsidRPr="003D254F" w:rsidRDefault="003D254F" w:rsidP="003D254F">
      <w:pPr>
        <w:pStyle w:val="FG11-corpo-do-texto"/>
        <w:rPr>
          <w:szCs w:val="24"/>
        </w:rPr>
      </w:pPr>
      <w:r>
        <w:rPr>
          <w:szCs w:val="24"/>
        </w:rPr>
        <w:t xml:space="preserve">Foram </w:t>
      </w:r>
      <w:r w:rsidR="00726DAD">
        <w:rPr>
          <w:szCs w:val="24"/>
        </w:rPr>
        <w:t>reconhecido</w:t>
      </w:r>
      <w:r>
        <w:rPr>
          <w:szCs w:val="24"/>
        </w:rPr>
        <w:t xml:space="preserve"> ainda como causas de aumento da pena em 1/3 o cometimento do crime durante a gestação ou nos três primeiros meses posteriores ao parto, contra menor de 14 anos ou maior de 60 anos de idade, de mulher com deficiência, ou ainda, na presença ascendentes os descendentes da vítima (Lei nº 13.104/2015). Vale destacar que, diante da grande quantidade de causas de aumento de pena previstas no crime de homicídio, as causas do §7º, aplicam-se exclusivamente ao crime de feminicídio. (</w:t>
      </w:r>
      <w:r w:rsidR="001A6569">
        <w:rPr>
          <w:szCs w:val="24"/>
        </w:rPr>
        <w:t>CUNHA</w:t>
      </w:r>
      <w:r>
        <w:rPr>
          <w:szCs w:val="24"/>
        </w:rPr>
        <w:t xml:space="preserve">, 2015). </w:t>
      </w:r>
    </w:p>
    <w:p w:rsidR="009321AC" w:rsidRPr="00F979DF" w:rsidRDefault="003D254F" w:rsidP="009321AC">
      <w:pPr>
        <w:pStyle w:val="FG9corpodotexto"/>
        <w:rPr>
          <w:szCs w:val="24"/>
        </w:rPr>
      </w:pPr>
      <w:r>
        <w:rPr>
          <w:szCs w:val="24"/>
        </w:rPr>
        <w:t xml:space="preserve">A primeira hipótese de aumento ocorre quando o feminicídio é praticado contra a pessoa de 14 (quatorze) anos, maior de 60 (sessenta) anos ou com deficiência. Nos dois primeiros casos, estabelecidos pela idade da vítima, reproduzem o </w:t>
      </w:r>
      <w:r w:rsidR="00E61EF4">
        <w:rPr>
          <w:szCs w:val="24"/>
        </w:rPr>
        <w:t>§4º</w:t>
      </w:r>
      <w:r>
        <w:rPr>
          <w:szCs w:val="24"/>
        </w:rPr>
        <w:t xml:space="preserve"> do artigo 121 do Código Penal, que pressupõe causas de aumento na prática de homicídio doloso. A divergência entre os dois encontra-se no fato de que, no caso do feminicídio, a pena poderá ser aumentada de 1/3 (um terço) até a metade. </w:t>
      </w:r>
    </w:p>
    <w:p w:rsidR="009321AC" w:rsidRPr="00F979DF" w:rsidRDefault="003D254F" w:rsidP="003D254F">
      <w:pPr>
        <w:pStyle w:val="FG9corpodotexto"/>
        <w:rPr>
          <w:szCs w:val="24"/>
        </w:rPr>
      </w:pPr>
      <w:r>
        <w:rPr>
          <w:szCs w:val="24"/>
        </w:rPr>
        <w:t xml:space="preserve">Vale lembrar que para a incidência dessas majorantes sobre o crime de feminicídio, é essencial que o agente tenha consciência de todos os requisitos </w:t>
      </w:r>
      <w:r>
        <w:rPr>
          <w:szCs w:val="24"/>
        </w:rPr>
        <w:lastRenderedPageBreak/>
        <w:t>necessários para sua caracterização, desse modo, é necessário que tenha o conhecimento sobre a idade, deficiência ou grau de parentesco existente com a vítima</w:t>
      </w:r>
      <w:r w:rsidR="00E61EF4">
        <w:rPr>
          <w:szCs w:val="24"/>
        </w:rPr>
        <w:t>.</w:t>
      </w:r>
      <w:r>
        <w:rPr>
          <w:szCs w:val="24"/>
        </w:rPr>
        <w:t xml:space="preserve"> </w:t>
      </w:r>
    </w:p>
    <w:p w:rsidR="00D02DB4" w:rsidRDefault="00B005D7" w:rsidP="009321AC">
      <w:pPr>
        <w:pStyle w:val="FG9corpodotexto"/>
        <w:rPr>
          <w:szCs w:val="24"/>
        </w:rPr>
      </w:pPr>
      <w:r>
        <w:rPr>
          <w:szCs w:val="24"/>
        </w:rPr>
        <w:t xml:space="preserve">Para concluir, se o agente praticou o crime de homicídio contra a mulher por razões inerentes a condição do sexo feminino, a partir do dia 10/03/2015, momento em que a Lei </w:t>
      </w:r>
      <w:r w:rsidR="00E61EF4">
        <w:rPr>
          <w:szCs w:val="24"/>
        </w:rPr>
        <w:t xml:space="preserve">nº13. </w:t>
      </w:r>
      <w:r>
        <w:rPr>
          <w:szCs w:val="24"/>
        </w:rPr>
        <w:t>104/14 passou a vigorar, responderá por feminicídio. Se o crime fora praticado em momento anterior a esta data o agente não responderá pelo homicídio qualificado, nos termos do artigo 121, §2º, inciso IV, do Código Penal</w:t>
      </w:r>
      <w:r w:rsidR="00E61EF4">
        <w:rPr>
          <w:szCs w:val="24"/>
        </w:rPr>
        <w:t>.</w:t>
      </w:r>
    </w:p>
    <w:p w:rsidR="00E61EF4" w:rsidRPr="00F979DF" w:rsidRDefault="00E61EF4" w:rsidP="009321AC">
      <w:pPr>
        <w:pStyle w:val="FG9corpodotexto"/>
        <w:rPr>
          <w:szCs w:val="24"/>
        </w:rPr>
      </w:pPr>
    </w:p>
    <w:p w:rsidR="009321AC" w:rsidRPr="009037E2" w:rsidRDefault="009321AC" w:rsidP="009321AC">
      <w:pPr>
        <w:pStyle w:val="FG9corpodotexto"/>
        <w:ind w:firstLine="0"/>
        <w:rPr>
          <w:b/>
          <w:szCs w:val="24"/>
        </w:rPr>
      </w:pPr>
      <w:r w:rsidRPr="009037E2">
        <w:rPr>
          <w:b/>
          <w:szCs w:val="24"/>
        </w:rPr>
        <w:t>2.</w:t>
      </w:r>
      <w:r>
        <w:rPr>
          <w:b/>
          <w:szCs w:val="24"/>
        </w:rPr>
        <w:t>2</w:t>
      </w:r>
      <w:r w:rsidRPr="009037E2">
        <w:rPr>
          <w:b/>
          <w:szCs w:val="24"/>
        </w:rPr>
        <w:t xml:space="preserve"> </w:t>
      </w:r>
      <w:r>
        <w:rPr>
          <w:b/>
          <w:szCs w:val="24"/>
        </w:rPr>
        <w:t>Apontamentos acerca da violência de gênero.</w:t>
      </w:r>
      <w:r w:rsidRPr="009037E2">
        <w:rPr>
          <w:b/>
          <w:szCs w:val="24"/>
        </w:rPr>
        <w:t xml:space="preserve"> </w:t>
      </w:r>
    </w:p>
    <w:p w:rsidR="00177223" w:rsidRPr="005955DA" w:rsidRDefault="00353DA9" w:rsidP="005955DA">
      <w:pPr>
        <w:pStyle w:val="FG9corpodotexto"/>
      </w:pPr>
      <w:r>
        <w:t xml:space="preserve">A violência contra a mulher também é caracterizada pelo termo “violência de gênero”, determinada forma de violência ocorre mediante uma relação de poder que há entre o homem dominador em relação </w:t>
      </w:r>
      <w:r w:rsidR="00E61EF4">
        <w:t>à</w:t>
      </w:r>
      <w:r>
        <w:t xml:space="preserve"> submissa mulher. Esse modelo de relação demostra papéis imposto </w:t>
      </w:r>
      <w:r w:rsidR="00E61EF4">
        <w:t>às</w:t>
      </w:r>
      <w:r>
        <w:t xml:space="preserve"> mulheres e aos homens instituídos e reforçados ao longo da história pelo patriarcado e sua ideologia, induzindo relações violentas entre os sexos. </w:t>
      </w:r>
    </w:p>
    <w:p w:rsidR="00D02DB4" w:rsidRDefault="00D02DB4" w:rsidP="009321AC">
      <w:pPr>
        <w:pStyle w:val="FG9corpodotexto"/>
      </w:pPr>
      <w:r>
        <w:t>Com relação à violência de gênero, ressalta-se que esta se desenvolve em um contexto em que as relações são produzidas socialmente,</w:t>
      </w:r>
      <w:r w:rsidRPr="00F979DF">
        <w:rPr>
          <w:szCs w:val="24"/>
        </w:rPr>
        <w:t xml:space="preserve"> </w:t>
      </w:r>
      <w:r>
        <w:rPr>
          <w:szCs w:val="24"/>
        </w:rPr>
        <w:t xml:space="preserve">ou seja, </w:t>
      </w:r>
      <w:r>
        <w:t xml:space="preserve">a violência de gênero só se sustenta em um quadro de desigualdades de gênero. Estas integram o conjunto das desigualdades sociais estruturais, que se expressam no marco do processo de produção e reprodução das relações fundamentais – as de classe, étnico-raciais e de gênero. </w:t>
      </w:r>
    </w:p>
    <w:p w:rsidR="00294428" w:rsidRPr="00294428" w:rsidRDefault="00294428" w:rsidP="00294428">
      <w:pPr>
        <w:pStyle w:val="FG9corpodotexto"/>
        <w:rPr>
          <w:szCs w:val="24"/>
        </w:rPr>
      </w:pPr>
      <w:r w:rsidRPr="00294428">
        <w:rPr>
          <w:szCs w:val="24"/>
        </w:rPr>
        <w:t xml:space="preserve">No Brasil o termo começou a ser usado no final dos anos 70 e difundiu-se rapidamente em função das mobilizações feministas contra o assassinato de mulheres e impunidade dos agressores, </w:t>
      </w:r>
      <w:r w:rsidR="00990C8E" w:rsidRPr="00294428">
        <w:rPr>
          <w:szCs w:val="24"/>
        </w:rPr>
        <w:t>frequentemente</w:t>
      </w:r>
      <w:r w:rsidRPr="00294428">
        <w:rPr>
          <w:szCs w:val="24"/>
        </w:rPr>
        <w:t xml:space="preserve"> os próprios maridos, comumente absolvid</w:t>
      </w:r>
      <w:r w:rsidR="00990C8E">
        <w:rPr>
          <w:szCs w:val="24"/>
        </w:rPr>
        <w:t xml:space="preserve">os em nome da defesa da honra. </w:t>
      </w:r>
      <w:r w:rsidRPr="00294428">
        <w:rPr>
          <w:szCs w:val="24"/>
        </w:rPr>
        <w:t xml:space="preserve">Nos início dos anos 80 tais mobilizações se estenderam para a denúncia dos espancamentos e </w:t>
      </w:r>
      <w:r w:rsidR="00726DAD" w:rsidRPr="00294428">
        <w:rPr>
          <w:szCs w:val="24"/>
        </w:rPr>
        <w:t>mau trato conjugal forma</w:t>
      </w:r>
      <w:r w:rsidRPr="00294428">
        <w:rPr>
          <w:szCs w:val="24"/>
        </w:rPr>
        <w:t xml:space="preserve"> também muito </w:t>
      </w:r>
      <w:r w:rsidR="00726DAD" w:rsidRPr="00294428">
        <w:rPr>
          <w:szCs w:val="24"/>
        </w:rPr>
        <w:t>comum de violência</w:t>
      </w:r>
      <w:r w:rsidRPr="00294428">
        <w:rPr>
          <w:szCs w:val="24"/>
        </w:rPr>
        <w:t xml:space="preserve"> contra a mulher. </w:t>
      </w:r>
    </w:p>
    <w:p w:rsidR="00294428" w:rsidRPr="00294428" w:rsidRDefault="00294428" w:rsidP="00294428">
      <w:pPr>
        <w:pStyle w:val="FG9corpodotexto"/>
        <w:rPr>
          <w:szCs w:val="24"/>
        </w:rPr>
      </w:pPr>
      <w:r w:rsidRPr="00294428">
        <w:rPr>
          <w:szCs w:val="24"/>
        </w:rPr>
        <w:t>Resultaram dessa luta a criação dos SOS Mulher e demais Serviços de Atendimento a Mulheres Vítimas de Violência, em geral vinculados a organizações não governamentais criadas por militantes feministas envolvidas na luta por políticas públicas voltadas para a mulher. Desses processos surgiram também o Conselho Nacional dos Direitos da Mulher, os Conselhos Estaduais e Municipais da Condição Feminina e as Delegacias de Defesa da Mulher, conquistas importantes no combate à violência contra a mulher.</w:t>
      </w:r>
    </w:p>
    <w:p w:rsidR="00294428" w:rsidRDefault="00294428" w:rsidP="00294428">
      <w:pPr>
        <w:pStyle w:val="FG9corpodotexto"/>
        <w:rPr>
          <w:szCs w:val="24"/>
        </w:rPr>
      </w:pPr>
      <w:r w:rsidRPr="00294428">
        <w:rPr>
          <w:szCs w:val="24"/>
        </w:rPr>
        <w:t xml:space="preserve">A partir de 1990, com o desenvolvimento dos estudos de gênero, alguns autores passaram a utilizar “violência de gênero” como um conceito mais amplo que “violência </w:t>
      </w:r>
      <w:r w:rsidRPr="00294428">
        <w:rPr>
          <w:szCs w:val="24"/>
        </w:rPr>
        <w:lastRenderedPageBreak/>
        <w:t>contra a mulher” (Saffioti &amp; Almeida,</w:t>
      </w:r>
      <w:r>
        <w:rPr>
          <w:szCs w:val="24"/>
        </w:rPr>
        <w:t xml:space="preserve"> </w:t>
      </w:r>
      <w:r w:rsidRPr="00294428">
        <w:rPr>
          <w:szCs w:val="24"/>
        </w:rPr>
        <w:t>1995). Este conceito abrange não apenas as mulheres, mas também crianças e adolescentes, objeto da violência masculina, que no Brasil é constitutiva das relações de gênero. Nesse sentido pode-se dizer que a violência contra a mulher é uma das principais formas de violência de gênero.</w:t>
      </w:r>
    </w:p>
    <w:p w:rsidR="00294428" w:rsidRDefault="00294428" w:rsidP="00294428">
      <w:pPr>
        <w:pStyle w:val="FG9corpodotexto"/>
        <w:rPr>
          <w:szCs w:val="24"/>
        </w:rPr>
      </w:pPr>
      <w:r w:rsidRPr="00294428">
        <w:rPr>
          <w:szCs w:val="24"/>
        </w:rPr>
        <w:t>A violência de gênero produz-se e reproduz-se nas relações de poder onde se entrelaçam as categorias de gênero, classe e raça. Expressa uma forma particular de violência global mediatizada pela ordem patriarcal, que delega aos homens o direito de dominar e controlar suas mulheres, podendo para isso usar a violência. Dentro dessa ótica, a ordem patriarcal é vista como um fator preponderante na produção da violência de gênero, uma vez que está na base das representações de gênero que legitimam a desigualdade e dominação masculina internalizada por homens e mulheres.</w:t>
      </w:r>
    </w:p>
    <w:p w:rsidR="00294428" w:rsidRPr="00294428" w:rsidRDefault="00294428" w:rsidP="00294428">
      <w:pPr>
        <w:pStyle w:val="FG9corpodotexto"/>
        <w:rPr>
          <w:szCs w:val="24"/>
        </w:rPr>
      </w:pPr>
      <w:r w:rsidRPr="00294428">
        <w:rPr>
          <w:szCs w:val="24"/>
        </w:rPr>
        <w:t>Portanto, pode-se dizer que a violência contra a mulher não é um fenômeno único e não acontece da mesma forma nos diferentes contextos; ela tem aspectos semelhantes, mas também diferentes em função da singularidade dos sujeitos envolvidos. Por isso, na análise e compreensão da violência contra a mulher é fundamental levar em conta esses aspectos universais e particulares de forma a apreender a diversidade do fenômeno.</w:t>
      </w:r>
    </w:p>
    <w:p w:rsidR="009321AC" w:rsidRPr="00F4163B" w:rsidRDefault="009321AC" w:rsidP="009321AC">
      <w:pPr>
        <w:pStyle w:val="FG9corpodotexto"/>
        <w:rPr>
          <w:szCs w:val="24"/>
        </w:rPr>
      </w:pPr>
    </w:p>
    <w:p w:rsidR="00177223" w:rsidRPr="009037E2" w:rsidRDefault="009321AC" w:rsidP="009321AC">
      <w:pPr>
        <w:pStyle w:val="FG9corpodotexto"/>
        <w:ind w:firstLine="0"/>
        <w:rPr>
          <w:b/>
          <w:szCs w:val="24"/>
        </w:rPr>
      </w:pPr>
      <w:r w:rsidRPr="009037E2">
        <w:rPr>
          <w:b/>
          <w:szCs w:val="24"/>
        </w:rPr>
        <w:t>2.</w:t>
      </w:r>
      <w:r>
        <w:rPr>
          <w:b/>
          <w:szCs w:val="24"/>
        </w:rPr>
        <w:t>3</w:t>
      </w:r>
      <w:r w:rsidRPr="009037E2">
        <w:rPr>
          <w:b/>
          <w:szCs w:val="24"/>
        </w:rPr>
        <w:t xml:space="preserve"> </w:t>
      </w:r>
      <w:r>
        <w:rPr>
          <w:b/>
          <w:szCs w:val="24"/>
        </w:rPr>
        <w:t>Dados estatísticos do feminicídio.</w:t>
      </w:r>
      <w:r w:rsidRPr="009037E2">
        <w:rPr>
          <w:b/>
          <w:szCs w:val="24"/>
        </w:rPr>
        <w:t xml:space="preserve"> </w:t>
      </w:r>
    </w:p>
    <w:p w:rsidR="007F168A" w:rsidRDefault="007F168A" w:rsidP="007F168A">
      <w:pPr>
        <w:pStyle w:val="FG9corpodotexto"/>
        <w:rPr>
          <w:szCs w:val="24"/>
        </w:rPr>
      </w:pPr>
      <w:r>
        <w:t>A Lei Maria da Penha – Lei nº 11.340/06 – representa um marco na proteção aos direitos das mulheres, pois, de maneira geral teve como premissa essencial coibir e prevenir todas as formas de violência doméstica e familiar, nos termos do artigo 226 da Constituição Federal de 1988, da Convenção sobre a Eliminação de Todas as Formas de Discriminação Contra as Mulheres e da Convenção Interamericana para Prevenir, Punir e Erradicar a Violência Contra a Mulher, ratificado pelo Brasil.</w:t>
      </w:r>
      <w:r w:rsidRPr="00F979DF">
        <w:rPr>
          <w:szCs w:val="24"/>
        </w:rPr>
        <w:t xml:space="preserve"> </w:t>
      </w:r>
    </w:p>
    <w:p w:rsidR="00D51307" w:rsidRDefault="00D51307" w:rsidP="00D51307">
      <w:pPr>
        <w:pStyle w:val="FG9corpodotexto"/>
      </w:pPr>
      <w:r w:rsidRPr="0071140A">
        <w:t xml:space="preserve">Segundo a Organização Mundial da Saúde (OMS), o número de assassinatos chega a 4,8 para cada 100 mil mulheres. O Mapa da Violência de 2015 aponta que, entre 1980 e 2013, 106.093 pessoas morreram por sua condição de ser mulher. As mulheres negras são ainda mais violentadas. Apenas entre 2003 e 2013, houve aumento de 54% no registro de mortes, passando de 1.864 para 2.875 nesse período. </w:t>
      </w:r>
    </w:p>
    <w:p w:rsidR="007842DD" w:rsidRDefault="00036428" w:rsidP="00D51307">
      <w:pPr>
        <w:pStyle w:val="FG9corpodotexto"/>
      </w:pPr>
      <w:r>
        <w:t>Em 2018, o Portal G1, divulgou um levantamento referente aos casos de violência contra as mulheres. Segundo a pesquisa, com base nos dados oficiais dos 26 estados e do Distrito Federal,</w:t>
      </w:r>
      <w:r w:rsidR="007842DD">
        <w:t xml:space="preserve"> os casos de feminicídio cresceram em um ano. Foram 1.173 </w:t>
      </w:r>
      <w:r w:rsidR="005B409C">
        <w:t>em 2018</w:t>
      </w:r>
      <w:r w:rsidR="007842DD">
        <w:t xml:space="preserve">, frente a 1.047 em 2017. </w:t>
      </w:r>
    </w:p>
    <w:p w:rsidR="007F168A" w:rsidRDefault="00D51307" w:rsidP="007F168A">
      <w:pPr>
        <w:pStyle w:val="FG9corpodotexto"/>
      </w:pPr>
      <w:r>
        <w:lastRenderedPageBreak/>
        <w:t>Atualmente, uma pesquisa divulgada pela Folha de São Paulo, apurou que</w:t>
      </w:r>
      <w:r w:rsidRPr="00D51307">
        <w:t>, 71% dos crimes foram cometidos por parceiros ou ex-parceiros das mulheres assassinadas. Armas brancas foram usadas em 41% dos crimes, enquanto armas de fogo representam 23% dos casos. Do total de casos, 47% aconteceram dentro da casa da vítima.</w:t>
      </w:r>
    </w:p>
    <w:p w:rsidR="0071140A" w:rsidRDefault="0071140A" w:rsidP="007F168A">
      <w:pPr>
        <w:pStyle w:val="FG9corpodotexto"/>
      </w:pPr>
    </w:p>
    <w:p w:rsidR="00873528" w:rsidRPr="00F4163B" w:rsidRDefault="00873528" w:rsidP="00873528">
      <w:pPr>
        <w:pStyle w:val="FG11-corpo-do-texto"/>
        <w:ind w:firstLine="0"/>
        <w:rPr>
          <w:b/>
          <w:szCs w:val="24"/>
        </w:rPr>
      </w:pPr>
      <w:r>
        <w:rPr>
          <w:b/>
          <w:szCs w:val="24"/>
        </w:rPr>
        <w:t>3</w:t>
      </w:r>
      <w:r w:rsidRPr="00985BE5">
        <w:rPr>
          <w:b/>
          <w:szCs w:val="24"/>
        </w:rPr>
        <w:t xml:space="preserve"> </w:t>
      </w:r>
      <w:r>
        <w:rPr>
          <w:b/>
          <w:szCs w:val="24"/>
        </w:rPr>
        <w:t xml:space="preserve">A NATURZA DO </w:t>
      </w:r>
      <w:r w:rsidR="00726DAD">
        <w:rPr>
          <w:b/>
          <w:szCs w:val="24"/>
        </w:rPr>
        <w:t>FEMINICÍDIO.</w:t>
      </w:r>
    </w:p>
    <w:p w:rsidR="00873528" w:rsidRPr="00F979DF" w:rsidRDefault="00873528" w:rsidP="00873528">
      <w:pPr>
        <w:pStyle w:val="FG11-corpo-do-texto"/>
        <w:ind w:firstLine="708"/>
        <w:rPr>
          <w:szCs w:val="24"/>
        </w:rPr>
      </w:pPr>
      <w:r>
        <w:rPr>
          <w:szCs w:val="24"/>
        </w:rPr>
        <w:t>No presente tópico abordaremos, como matéria primordial, a natureza jurídica do feminicídio. Esta classificação se faz necessária de modo</w:t>
      </w:r>
      <w:r w:rsidR="002B5243">
        <w:rPr>
          <w:szCs w:val="24"/>
        </w:rPr>
        <w:t>, a saber,</w:t>
      </w:r>
      <w:r>
        <w:rPr>
          <w:szCs w:val="24"/>
        </w:rPr>
        <w:t xml:space="preserve"> as suas consequências, sendo elas: a existência de feminicídio privilegiado; em se tratando de concurso de agente, se a qualificadora se comunica aos dem</w:t>
      </w:r>
      <w:r w:rsidR="005B409C">
        <w:rPr>
          <w:szCs w:val="24"/>
        </w:rPr>
        <w:t>ais agentes; se as qualificadora</w:t>
      </w:r>
      <w:r>
        <w:rPr>
          <w:szCs w:val="24"/>
        </w:rPr>
        <w:t xml:space="preserve">s subjetivas podem com ela coexistir e a modificação da ordem dos quesitos no Tribunal do Júri. </w:t>
      </w:r>
    </w:p>
    <w:p w:rsidR="00873528" w:rsidRPr="00F4163B" w:rsidRDefault="00873528" w:rsidP="00873528">
      <w:pPr>
        <w:pStyle w:val="FG11-titulo2"/>
        <w:rPr>
          <w:i w:val="0"/>
          <w:szCs w:val="24"/>
        </w:rPr>
      </w:pPr>
      <w:r>
        <w:rPr>
          <w:i w:val="0"/>
          <w:szCs w:val="24"/>
        </w:rPr>
        <w:t>3</w:t>
      </w:r>
      <w:r w:rsidRPr="009037E2">
        <w:rPr>
          <w:i w:val="0"/>
          <w:szCs w:val="24"/>
        </w:rPr>
        <w:t xml:space="preserve">.1 </w:t>
      </w:r>
      <w:r>
        <w:rPr>
          <w:i w:val="0"/>
          <w:szCs w:val="24"/>
        </w:rPr>
        <w:t>Natureza objetiva do feminicídio.</w:t>
      </w:r>
    </w:p>
    <w:p w:rsidR="00EF1A32" w:rsidRDefault="002B5243" w:rsidP="00873528">
      <w:pPr>
        <w:pStyle w:val="FG9corpodotexto"/>
        <w:rPr>
          <w:szCs w:val="24"/>
        </w:rPr>
      </w:pPr>
      <w:r>
        <w:rPr>
          <w:szCs w:val="24"/>
        </w:rPr>
        <w:t xml:space="preserve">Qualificadoras que possuem natureza jurídica objetiva dizem respeito ao crime cometido, conectam-se com as formas de execução do delito (BIANCHINI, 2016, p. 204). </w:t>
      </w:r>
      <w:r w:rsidR="00EF1A32">
        <w:rPr>
          <w:szCs w:val="24"/>
        </w:rPr>
        <w:t xml:space="preserve">A </w:t>
      </w:r>
      <w:r>
        <w:rPr>
          <w:szCs w:val="24"/>
        </w:rPr>
        <w:t xml:space="preserve">qualificadora do feminicídio tem natureza objetiva, porquanto descreve uma maneira característica contra a mulher, sendo objetiva a análise da presença do modelo de violência baseada no gênero positivada na Lei Maria da Penha e na Convenção de Belém do Pará e agora incorporada pela Lei </w:t>
      </w:r>
      <w:r w:rsidR="00EF1A32">
        <w:rPr>
          <w:szCs w:val="24"/>
        </w:rPr>
        <w:t>nº 13.104/2015.</w:t>
      </w:r>
    </w:p>
    <w:p w:rsidR="00925C72" w:rsidRDefault="00925C72" w:rsidP="005844FE">
      <w:pPr>
        <w:pStyle w:val="FG9corpodotexto"/>
        <w:rPr>
          <w:szCs w:val="24"/>
        </w:rPr>
      </w:pPr>
      <w:r>
        <w:rPr>
          <w:szCs w:val="24"/>
        </w:rPr>
        <w:t>Para Busato (2015, p. 5) trata-se de qualificadora de cunho objetivo, incluído em disposição que alude sobre circunstâncias de natureza subjetiva equivocadamente. Na mesma esteira, o Tribunal de Justiça do Distrito Federal decidiu que sua natureza é objetiva, já que, se fosse de cunho subjetivo afastar-se-iam outras circunstâncias qualificadoras do homicídio por motivo torpe ou fútil, desse modo, diminuindo o objetivo do legislador de tornar mais grave a pena do homicídio praticado contr</w:t>
      </w:r>
      <w:r w:rsidR="005844FE">
        <w:rPr>
          <w:szCs w:val="24"/>
        </w:rPr>
        <w:t>a a mulher em razoes do gênero.</w:t>
      </w:r>
    </w:p>
    <w:p w:rsidR="008B739C" w:rsidRPr="00F979DF" w:rsidRDefault="008B739C" w:rsidP="00873528">
      <w:pPr>
        <w:pStyle w:val="FG9corpodotexto"/>
        <w:rPr>
          <w:szCs w:val="24"/>
        </w:rPr>
      </w:pPr>
      <w:r>
        <w:rPr>
          <w:szCs w:val="24"/>
        </w:rPr>
        <w:t>Nucci (201</w:t>
      </w:r>
      <w:r w:rsidR="005410A7">
        <w:rPr>
          <w:szCs w:val="24"/>
        </w:rPr>
        <w:t>5</w:t>
      </w:r>
      <w:r>
        <w:rPr>
          <w:szCs w:val="24"/>
        </w:rPr>
        <w:t xml:space="preserve">, p. 87) ao tratar deste assunto leciona que se trata de uma qualificadora objetiva, já que se conecta ao gênero da vítima. Explica que o homem, ao longo da historia, sempre esteve como o gênero dominante, o androcentrismo prevalecendo, fundamentando uma aversão </w:t>
      </w:r>
      <w:r w:rsidR="005410A7">
        <w:rPr>
          <w:szCs w:val="24"/>
        </w:rPr>
        <w:t>às</w:t>
      </w:r>
      <w:r>
        <w:rPr>
          <w:szCs w:val="24"/>
        </w:rPr>
        <w:t xml:space="preserve"> mulheres, sendo vistas como mais fracas e inferiores socialmente. </w:t>
      </w:r>
    </w:p>
    <w:p w:rsidR="00873528" w:rsidRPr="00F979DF" w:rsidRDefault="008B739C" w:rsidP="00873528">
      <w:pPr>
        <w:pStyle w:val="FG9corpodotexto"/>
        <w:rPr>
          <w:szCs w:val="24"/>
        </w:rPr>
      </w:pPr>
      <w:r>
        <w:rPr>
          <w:szCs w:val="24"/>
        </w:rPr>
        <w:lastRenderedPageBreak/>
        <w:t xml:space="preserve">O mesmo autor expõe que não consente com o entendimento de ser uma qualificadora subjetiva somente porque se inseriu a expressão “por razoes de condição de sexo feminino”, pois não é essa a motivação do homicídio. O agente não mata a mulher somente porque ela é mulher, mas o faz por ódio, raiva, ciúme, disputa familiar, prazer, sadismo, motivos variados que podem ser torpes ou fúteis e podem, inclusive, ser moralmente relevantes. </w:t>
      </w:r>
      <w:r w:rsidR="00D23FA4">
        <w:rPr>
          <w:szCs w:val="24"/>
        </w:rPr>
        <w:t>(NUCCI, 201</w:t>
      </w:r>
      <w:r w:rsidR="005410A7">
        <w:rPr>
          <w:szCs w:val="24"/>
        </w:rPr>
        <w:t>5</w:t>
      </w:r>
      <w:r w:rsidR="00D23FA4">
        <w:rPr>
          <w:szCs w:val="24"/>
        </w:rPr>
        <w:t xml:space="preserve">, p. 87). </w:t>
      </w:r>
    </w:p>
    <w:p w:rsidR="002D2394" w:rsidRDefault="00B07B30" w:rsidP="00873528">
      <w:pPr>
        <w:pStyle w:val="FG9corpodotexto"/>
        <w:rPr>
          <w:szCs w:val="24"/>
        </w:rPr>
      </w:pPr>
      <w:r>
        <w:rPr>
          <w:szCs w:val="24"/>
        </w:rPr>
        <w:t>Considerando-a como objetiva, pode coexistir com outras circunstâncias de caráter subjetivo. Sendo assim, quando ocorre, por exemplo, um homicídio contra a mulher por motivo fútil em um ambiente doméstico, é possível incidir duas qualificadoras, a existência de motivo fútil e a vitima ser do gênero feminino. Permite também a configuração do homicídio-privilegiado-qualificado, quando ocorrer, a título de exemplo, a morte da mulher pelo agente em virtude de violenta emoção seguida de inj</w:t>
      </w:r>
      <w:r w:rsidR="002D2394">
        <w:rPr>
          <w:szCs w:val="24"/>
        </w:rPr>
        <w:t>usta provocação da vítima.</w:t>
      </w:r>
      <w:r>
        <w:rPr>
          <w:szCs w:val="24"/>
        </w:rPr>
        <w:t xml:space="preserve"> </w:t>
      </w:r>
    </w:p>
    <w:p w:rsidR="00B07B30" w:rsidRDefault="00B07B30" w:rsidP="00873528">
      <w:pPr>
        <w:pStyle w:val="FG9corpodotexto"/>
        <w:rPr>
          <w:szCs w:val="24"/>
        </w:rPr>
      </w:pPr>
      <w:r>
        <w:rPr>
          <w:szCs w:val="24"/>
        </w:rPr>
        <w:t xml:space="preserve">Adotado este entendimento podemos concluir que dessa forma a mulher é realmente protegida pela qualificadora do feminicidio, ao passo que se considerada subjetiva não teria o mesmo alcance. Como é traçado pela Lei Maria da Penha, pune-se a lesão corporal contra a mulher, em ambiente doméstico, como lesão qualificada, independentemente do motivo, que, inclusive, se for torpe, por exemplo, acrescenta-se a agravante. </w:t>
      </w:r>
    </w:p>
    <w:p w:rsidR="00873528" w:rsidRPr="00F4163B" w:rsidRDefault="00873528" w:rsidP="00873528">
      <w:pPr>
        <w:pStyle w:val="FG11-titulo2"/>
        <w:rPr>
          <w:i w:val="0"/>
          <w:szCs w:val="24"/>
        </w:rPr>
      </w:pPr>
      <w:r>
        <w:rPr>
          <w:i w:val="0"/>
          <w:szCs w:val="24"/>
        </w:rPr>
        <w:t>3</w:t>
      </w:r>
      <w:r w:rsidRPr="009037E2">
        <w:rPr>
          <w:i w:val="0"/>
          <w:szCs w:val="24"/>
        </w:rPr>
        <w:t>.</w:t>
      </w:r>
      <w:r>
        <w:rPr>
          <w:i w:val="0"/>
          <w:szCs w:val="24"/>
        </w:rPr>
        <w:t>2</w:t>
      </w:r>
      <w:r w:rsidRPr="009037E2">
        <w:rPr>
          <w:i w:val="0"/>
          <w:szCs w:val="24"/>
        </w:rPr>
        <w:t xml:space="preserve"> </w:t>
      </w:r>
      <w:r>
        <w:rPr>
          <w:i w:val="0"/>
          <w:szCs w:val="24"/>
        </w:rPr>
        <w:t>Natureza subjetiva do feminicídio.</w:t>
      </w:r>
      <w:r w:rsidR="002D2394">
        <w:rPr>
          <w:i w:val="0"/>
          <w:szCs w:val="24"/>
        </w:rPr>
        <w:t xml:space="preserve"> </w:t>
      </w:r>
    </w:p>
    <w:p w:rsidR="00084B2D" w:rsidRPr="00F979DF" w:rsidRDefault="00084B2D" w:rsidP="00BF317D">
      <w:pPr>
        <w:pStyle w:val="FG9corpodotexto"/>
        <w:rPr>
          <w:szCs w:val="24"/>
        </w:rPr>
      </w:pPr>
      <w:r>
        <w:rPr>
          <w:szCs w:val="24"/>
        </w:rPr>
        <w:t xml:space="preserve">A primeira corrente entende ser o feminicídio uma qualificadora de natureza subjetiva. Adotada por Cunha (2015), como o feminicídio pressupõe motivação especial, qual seja, o menosprezo ou a discriminação à condição de mulher e não diz respeito a meios ou modos de execução do crime, todas as suas formas previstas no artigo 121, §2º-A, do Código Penal, possuem natureza subjetiva. No mesmo </w:t>
      </w:r>
      <w:r w:rsidR="00BF317D">
        <w:rPr>
          <w:szCs w:val="24"/>
        </w:rPr>
        <w:t>sentido</w:t>
      </w:r>
      <w:r>
        <w:rPr>
          <w:szCs w:val="24"/>
        </w:rPr>
        <w:t xml:space="preserve"> entende Barros (2015) </w:t>
      </w:r>
      <w:r w:rsidR="00BF317D">
        <w:rPr>
          <w:szCs w:val="24"/>
        </w:rPr>
        <w:t xml:space="preserve">que </w:t>
      </w:r>
      <w:r>
        <w:rPr>
          <w:szCs w:val="24"/>
        </w:rPr>
        <w:t xml:space="preserve">“a violência doméstica, familiar e também o menosprezo ou discriminação à condição de mulher, não são formas de execução do crime, e sim, a motivação delitiva; portanto, o feminicídio é uma qualificadora subjetiva”. </w:t>
      </w:r>
    </w:p>
    <w:p w:rsidR="00873528" w:rsidRDefault="00084B2D" w:rsidP="00873528">
      <w:pPr>
        <w:pStyle w:val="FG9corpodotexto"/>
        <w:rPr>
          <w:szCs w:val="24"/>
        </w:rPr>
      </w:pPr>
      <w:r>
        <w:rPr>
          <w:szCs w:val="24"/>
        </w:rPr>
        <w:t>De acordo co</w:t>
      </w:r>
      <w:r w:rsidR="00110163">
        <w:rPr>
          <w:szCs w:val="24"/>
        </w:rPr>
        <w:t xml:space="preserve">m Bittencourt, o porquê do crime é, igualmente, o menosprezo à condição de mulher e a fragilidade física e psicológica da mulher em relação ao homem, gera um estimulo para praticar a violência, ao presumir o agressor sua dificuldade em se defender. </w:t>
      </w:r>
    </w:p>
    <w:p w:rsidR="00110163" w:rsidRDefault="00110163" w:rsidP="00873528">
      <w:pPr>
        <w:pStyle w:val="FG9corpodotexto"/>
        <w:rPr>
          <w:szCs w:val="24"/>
        </w:rPr>
      </w:pPr>
      <w:r>
        <w:rPr>
          <w:szCs w:val="24"/>
        </w:rPr>
        <w:lastRenderedPageBreak/>
        <w:t xml:space="preserve">Nesse caso, o simples fato de ser a vítima mulher bastaria para a qualificadora. A nova lei não usou essa definição, o que evidencia que não basta a condição de mulher para que se caracterize o feminicídio, é preciso que ela tenha sido morta por ser mulher, que a sua condição tenha sido o motivo do ato de matar. </w:t>
      </w:r>
    </w:p>
    <w:p w:rsidR="00110163" w:rsidRDefault="00110163" w:rsidP="00873528">
      <w:pPr>
        <w:pStyle w:val="FG9corpodotexto"/>
        <w:rPr>
          <w:szCs w:val="24"/>
        </w:rPr>
      </w:pPr>
      <w:r>
        <w:rPr>
          <w:szCs w:val="24"/>
        </w:rPr>
        <w:t xml:space="preserve">São de caráter subjetivo, uma vez que as três hipóteses que configuram o feminicídio exprimem a motivação da ação homicida, exemplificando, numa situação uma mulher usa um vestido curto, devido a essa ação o seu marido a mata, motivado pela presunção de que a mulher lhe pertence, que deve ser submissa a seus gostos e escolhas, como se sua propriedade fosse, suprimindo suas preferências estéticas e morais. Essa motivação expõe uma ofensa à condição do gênero feminino, a sua maneira de ser feminino e decorre unicamente dessa razão (BIANCHINI, 2016, p. 216). </w:t>
      </w:r>
    </w:p>
    <w:p w:rsidR="00873528" w:rsidRDefault="00873528" w:rsidP="00873528">
      <w:pPr>
        <w:pStyle w:val="FG11-titulo2"/>
        <w:rPr>
          <w:i w:val="0"/>
          <w:szCs w:val="24"/>
        </w:rPr>
      </w:pPr>
      <w:r>
        <w:rPr>
          <w:i w:val="0"/>
          <w:szCs w:val="24"/>
        </w:rPr>
        <w:t>3</w:t>
      </w:r>
      <w:r w:rsidRPr="009037E2">
        <w:rPr>
          <w:i w:val="0"/>
          <w:szCs w:val="24"/>
        </w:rPr>
        <w:t>.</w:t>
      </w:r>
      <w:r w:rsidR="00447D47">
        <w:rPr>
          <w:i w:val="0"/>
          <w:szCs w:val="24"/>
        </w:rPr>
        <w:t>3</w:t>
      </w:r>
      <w:r w:rsidRPr="009037E2">
        <w:rPr>
          <w:i w:val="0"/>
          <w:szCs w:val="24"/>
        </w:rPr>
        <w:t xml:space="preserve"> </w:t>
      </w:r>
      <w:r>
        <w:rPr>
          <w:i w:val="0"/>
          <w:szCs w:val="24"/>
        </w:rPr>
        <w:t>A quesitação no Tribunal do Júri.</w:t>
      </w:r>
    </w:p>
    <w:p w:rsidR="00677713" w:rsidRDefault="00677713" w:rsidP="00873528">
      <w:pPr>
        <w:pStyle w:val="FG9corpodotexto"/>
        <w:rPr>
          <w:szCs w:val="24"/>
        </w:rPr>
      </w:pPr>
      <w:r w:rsidRPr="00677713">
        <w:rPr>
          <w:szCs w:val="24"/>
        </w:rPr>
        <w:t xml:space="preserve">Nessa perspectiva, sendo o tribunal do júri competente para o julgamento de crimes dolosos contra a vida, na ordem de elaboração dos quesitos prevista no artigo 483, do Código de Processo Penal, deve o juiz presidente, desde que os jurados tenham votado pela condenação, formular inicialmente quesitos sobre causas de diminuição de pena alegadas pela defesa, e, só após, proceder </w:t>
      </w:r>
      <w:r w:rsidR="00152107" w:rsidRPr="00677713">
        <w:rPr>
          <w:szCs w:val="24"/>
        </w:rPr>
        <w:t>à</w:t>
      </w:r>
      <w:r w:rsidRPr="00677713">
        <w:rPr>
          <w:szCs w:val="24"/>
        </w:rPr>
        <w:t xml:space="preserve"> votação dos quesitos relacionados às qualificadoras ou causas de aumento da pena.  </w:t>
      </w:r>
    </w:p>
    <w:p w:rsidR="00873528" w:rsidRDefault="00677713" w:rsidP="00873528">
      <w:pPr>
        <w:pStyle w:val="FG9corpodotexto"/>
        <w:rPr>
          <w:szCs w:val="24"/>
        </w:rPr>
      </w:pPr>
      <w:r>
        <w:rPr>
          <w:szCs w:val="24"/>
        </w:rPr>
        <w:t>Destarte, o privilégio é votado previamente às qualificadoras, assim, se os jurados o reconhecerem o juiz, obedecendo ao princípio constitucional da soberania dos veredictos, estará proibido de indagar aos jurados acerca de qualificadoras de natureza subjetiva que t</w:t>
      </w:r>
      <w:r w:rsidR="00152107">
        <w:rPr>
          <w:szCs w:val="24"/>
        </w:rPr>
        <w:t>enham sido confirmadas na pronún</w:t>
      </w:r>
      <w:r>
        <w:rPr>
          <w:szCs w:val="24"/>
        </w:rPr>
        <w:t xml:space="preserve">cia. </w:t>
      </w:r>
    </w:p>
    <w:p w:rsidR="00174368" w:rsidRDefault="00174368" w:rsidP="00873528">
      <w:pPr>
        <w:pStyle w:val="FG9corpodotexto"/>
      </w:pPr>
      <w:r>
        <w:t xml:space="preserve">A quesitação é um instituto processual que se encontra dentro do procedimento do Tribunal do </w:t>
      </w:r>
      <w:r w:rsidR="00FB3F14">
        <w:t xml:space="preserve">Júri, que se apresentando como </w:t>
      </w:r>
      <w:r>
        <w:t>direito fundamental do indivíduo de ser julgado por seus pares</w:t>
      </w:r>
      <w:r w:rsidR="00FB3F14">
        <w:t xml:space="preserve">, </w:t>
      </w:r>
      <w:r>
        <w:t xml:space="preserve">possui a competência mínima para julgamento dos crimes dolosos contra a vida. </w:t>
      </w:r>
    </w:p>
    <w:p w:rsidR="00174368" w:rsidRDefault="00174368" w:rsidP="00873528">
      <w:pPr>
        <w:pStyle w:val="FG9corpodotexto"/>
        <w:rPr>
          <w:szCs w:val="24"/>
        </w:rPr>
      </w:pPr>
      <w:r>
        <w:t>Trata-se, também, de um procedimento bifásico ou escalonado. A primeira fase se inicia com o recebimento de denúncia ou queixa e termina com a decisão de pronúncia, já a segunda se inicia com a pronúncia e termina com o julgamento realizado em plenário, pelos jurados do povo (CUNHA, PINTO, 2015, p. 21).</w:t>
      </w:r>
      <w:r>
        <w:rPr>
          <w:szCs w:val="24"/>
        </w:rPr>
        <w:t xml:space="preserve"> </w:t>
      </w:r>
    </w:p>
    <w:p w:rsidR="00F85D1E" w:rsidRDefault="00140545" w:rsidP="00873528">
      <w:pPr>
        <w:pStyle w:val="FG9corpodotexto"/>
      </w:pPr>
      <w:r>
        <w:t xml:space="preserve">Por outro lado, para Guilherme de Souza Nucci (2014, p. 68), trata-se de um procedimento trifásico, com o juízo de formação de culpa (primeira fase), juízo de </w:t>
      </w:r>
      <w:r>
        <w:lastRenderedPageBreak/>
        <w:t>preparação do plenário (com a avaliação das provas, análise de correlação entre pronúncia e questionário, além do relatório do processo) e juízo de mérito (julgamento em plenário).</w:t>
      </w:r>
    </w:p>
    <w:p w:rsidR="00F85D1E" w:rsidRDefault="004D002E" w:rsidP="007F168A">
      <w:pPr>
        <w:pStyle w:val="FG9corpodotexto"/>
      </w:pPr>
      <w:r>
        <w:t xml:space="preserve">Fato é que o questionário </w:t>
      </w:r>
      <w:r w:rsidR="00F85D1E">
        <w:t>é o conjunto de quesitos que os jurados devem responder acerca do crim</w:t>
      </w:r>
      <w:r>
        <w:t>e,</w:t>
      </w:r>
      <w:r w:rsidR="00F85D1E">
        <w:t xml:space="preserve"> esses serão formulados após os debates e esclarecimentos realizados no plenário, para fins de votação pelo Conselho de Sentença. Conforme o citado artigo 482 CPP, devem ser elaborados de forma simples, distinta, redigidos de forma clara, preservando-se a necessária clareza e precisão em sua resposta. Em sua formulação, o juiz presidente considerará apenas os termos da decisão de pronúncia e demais posteriores decisões confirmatórias.</w:t>
      </w:r>
      <w:r>
        <w:t xml:space="preserve"> (BONFIM, 2014, p. 676).</w:t>
      </w:r>
    </w:p>
    <w:p w:rsidR="00A1121D" w:rsidRDefault="00A1121D" w:rsidP="007F168A">
      <w:pPr>
        <w:pStyle w:val="FG9corpodotexto"/>
      </w:pPr>
      <w:r>
        <w:t xml:space="preserve">Tradicionalmente, o sistema do júri adotado pelo ordenamento jurídico brasileiro é o francês, no que diz respeito à quesitação. Por meio desse, os quesitos são mais detalhados, resultado do debate em plenário. Em contraposição, há o sistema anglo-americano, o qual apenas uma pergunta é feita aos jurados leigos, da forma mais objetiva possível, qual seja, se o réu é culpado ou inocente. </w:t>
      </w:r>
    </w:p>
    <w:p w:rsidR="00A1121D" w:rsidRDefault="00A1121D" w:rsidP="007F168A">
      <w:pPr>
        <w:pStyle w:val="FG9corpodotexto"/>
      </w:pPr>
      <w:r>
        <w:t>De igual modo, os autores definem que o quesito simplificado e único possui razão de ser no modelo anglo-americano, posto que lá os jurados se comunicam e debatem intensamente as teses até se chegar a um consenso. No modelo brasileiro, porém, vigora a</w:t>
      </w:r>
      <w:r w:rsidR="004D002E">
        <w:t xml:space="preserve"> </w:t>
      </w:r>
      <w:r>
        <w:t xml:space="preserve">incomunicabilidade dos jurados, assim, há a necessidade de quesitos específicos, com individualização das teses defensivas. </w:t>
      </w:r>
    </w:p>
    <w:p w:rsidR="00A1121D" w:rsidRDefault="00A1121D" w:rsidP="007F168A">
      <w:pPr>
        <w:pStyle w:val="FG9corpodotexto"/>
      </w:pPr>
      <w:r>
        <w:t xml:space="preserve">No entanto, entende-se majoritariamente, inclusive com fundamento na Súmula nº 156 do Supremo Tribunal Federal, que se trata de quesito obrigatório, sua falta ensejando nulidade absoluta. Então, ele deve ser formulado mesmo que a tese já tenha sido analisada nos quesitos anteriores e mesmo que haja </w:t>
      </w:r>
      <w:r w:rsidR="004D002E">
        <w:t>pluralidade de teses defensivas.</w:t>
      </w:r>
    </w:p>
    <w:p w:rsidR="00A1121D" w:rsidRDefault="00A1121D" w:rsidP="007F168A">
      <w:pPr>
        <w:pStyle w:val="FG9corpodotexto"/>
      </w:pPr>
      <w:r>
        <w:t>Trata-se da novida</w:t>
      </w:r>
      <w:r w:rsidR="004D002E">
        <w:t>de em quesitação, trazida pela L</w:t>
      </w:r>
      <w:r>
        <w:t>ei de 2008, por reduzir a absolvição a uma pergunta apenas, sem impor aos jurados inúmeras perguntas complexas e, também, jurídicas, dificultando seu entendimento e decisão</w:t>
      </w:r>
      <w:r w:rsidR="004D002E">
        <w:t>.</w:t>
      </w:r>
    </w:p>
    <w:p w:rsidR="00A1121D" w:rsidRDefault="00A1121D" w:rsidP="004D002E">
      <w:pPr>
        <w:pStyle w:val="FG9corpodotexto"/>
      </w:pPr>
      <w:r>
        <w:t xml:space="preserve">Posteriormente, tendo, então, </w:t>
      </w:r>
      <w:r w:rsidR="00682936">
        <w:t>os jurados decididos</w:t>
      </w:r>
      <w:r>
        <w:t xml:space="preserve"> pela condenação, há a indagação, ainda, acerca de causa de diminuição de pena. Assim, foram esquecidas as hipóteses de privilégio, mas, como essas configuram o mesmo efeito de diminuição de fixação abstrata da pena, devem ser questionadas conjuntamente com as causas de diminuição de pena</w:t>
      </w:r>
      <w:r w:rsidR="004D002E">
        <w:t>.</w:t>
      </w:r>
      <w:r>
        <w:t xml:space="preserve"> </w:t>
      </w:r>
      <w:r w:rsidR="004D002E">
        <w:t xml:space="preserve">Ainda nessa esteira, segundo a Súmula nº 162 do STF, as causas que elevem a pena devem ser questionadas após as que a diminuem, sob pena de haver nulidade absoluta. </w:t>
      </w:r>
      <w:r>
        <w:t>(NUCCI, 2014, p. 288-289).</w:t>
      </w:r>
    </w:p>
    <w:p w:rsidR="00A1121D" w:rsidRDefault="00A1121D" w:rsidP="007F168A">
      <w:pPr>
        <w:pStyle w:val="FG9corpodotexto"/>
      </w:pPr>
      <w:r>
        <w:lastRenderedPageBreak/>
        <w:t>Por fim, indaga-se acerca de qualificadoras ou causas de aumento de pena. Todas essas devem ter sido alegadas pela defesa, reconhecidas na pronúncia ou em decisões posteriores que julgaram admissível a acusação.</w:t>
      </w:r>
    </w:p>
    <w:p w:rsidR="00A1121D" w:rsidRDefault="00A1121D" w:rsidP="00A1121D">
      <w:pPr>
        <w:pStyle w:val="FG11-resumo"/>
        <w:spacing w:line="360" w:lineRule="auto"/>
      </w:pPr>
    </w:p>
    <w:p w:rsidR="00A1121D" w:rsidRDefault="00A1121D" w:rsidP="00A1121D">
      <w:pPr>
        <w:pStyle w:val="FG11-resumo"/>
        <w:spacing w:line="360" w:lineRule="auto"/>
      </w:pPr>
      <w:r>
        <w:t>CONCLUSÃO</w:t>
      </w:r>
    </w:p>
    <w:p w:rsidR="00D13D1E" w:rsidRDefault="00D13D1E" w:rsidP="00D13D1E">
      <w:pPr>
        <w:pStyle w:val="FG11-resumo"/>
        <w:spacing w:line="360" w:lineRule="auto"/>
        <w:ind w:firstLine="709"/>
      </w:pPr>
      <w:r>
        <w:t xml:space="preserve">Das análises e ponderações realizadas no decorrer do artigo, acera da natureza jurídica da qualificadora do feminicídio, percebe-se que apesar de renomados doutrinadores, com argumentos contundentes, entenderem por sua índole subjetiva, trata-se de uma qualificadora de espécie objetiva, e compreender de forma diversa implica a impossibilidade de sua cumulação com </w:t>
      </w:r>
      <w:r w:rsidR="00415B32">
        <w:t>outras qualificadoras</w:t>
      </w:r>
      <w:r>
        <w:t xml:space="preserve"> da mesma natureza, bem como se acolhido privilégio pelo conselho de sentença ficaria prejudicada a análise do quesito referente ao feminicídio, o que atenta contra a </w:t>
      </w:r>
      <w:r>
        <w:rPr>
          <w:i/>
        </w:rPr>
        <w:t>ratio essendi</w:t>
      </w:r>
      <w:r>
        <w:t xml:space="preserve"> da nova lei, qual seja conferir maior proteção à mulher brasileira, vitimadas por uma sociedade culturalmente marcada pela submissão da mulher e pela normalização da violência de gênero. </w:t>
      </w:r>
    </w:p>
    <w:p w:rsidR="00D13D1E" w:rsidRDefault="00D13D1E" w:rsidP="00D13D1E">
      <w:pPr>
        <w:pStyle w:val="FG11-resumo"/>
        <w:spacing w:line="360" w:lineRule="auto"/>
        <w:ind w:firstLine="709"/>
      </w:pPr>
      <w:r>
        <w:t xml:space="preserve">Não se trata de uma lei de caráter simbólico, uma vez que a tipificação do feminicídio inaugura um novo momento, em que as formas de combate à violência contra a mulher, longe de ser uma questão resolvida, deve cada vez mais ser discutida. O legislador já estava atento </w:t>
      </w:r>
      <w:r w:rsidR="00090F2C">
        <w:t>à</w:t>
      </w:r>
      <w:r>
        <w:t xml:space="preserve"> necessária e diferenciada proteção à mulher, quando consagrou na Carta Magna o principio da igualdade entre homens e mulheres, ainda, fortaleceu tal feito com a promulgação da Convenção Interamericana para Prevenir, Punir e Erradicar a Violência contra a Mulher, após </w:t>
      </w:r>
      <w:r w:rsidR="00032B3A">
        <w:t>programou</w:t>
      </w:r>
      <w:r>
        <w:t xml:space="preserve"> mecanismos para coibir a violência doméstica e familiar com a Lei Maria da Penha. </w:t>
      </w:r>
    </w:p>
    <w:p w:rsidR="00D13D1E" w:rsidRDefault="00D13D1E" w:rsidP="00D13D1E">
      <w:pPr>
        <w:pStyle w:val="FG11-resumo"/>
        <w:spacing w:line="360" w:lineRule="auto"/>
        <w:ind w:firstLine="709"/>
      </w:pPr>
      <w:r>
        <w:t>Uma das divergências trazidas se relaciona com a natureza dessa nova qualificadora, a qual gera diversas consequências no âmbito criminal. Desse modo, houve o entendimento de que se trata de qualificadora subjetiva, por ser uma motivação intrínseca ao agente e um pensamento de posse e de diminuição da mulher enraizado na sociedade. Por outro lado, alguns doutrinadores a consideram como de natureza objetiva, por se tratar de uma forma de violência, de um modo de execução do crime, possibilitando, também, uma maior punição do agente, porém sem considerar a violência às mulheres como algo intrínseco aos sujeitos dentro de nossa cultura.</w:t>
      </w:r>
    </w:p>
    <w:p w:rsidR="00090F2C" w:rsidRDefault="005D65F2" w:rsidP="00D13D1E">
      <w:pPr>
        <w:pStyle w:val="FG11-resumo"/>
        <w:spacing w:line="360" w:lineRule="auto"/>
        <w:ind w:firstLine="709"/>
      </w:pPr>
      <w:r>
        <w:t xml:space="preserve">Também, se desenvolveu o entendimento de que, considerando o contexto de violência doméstica e familiar, trata-se de qualificadora de natureza objetiva; porém, em </w:t>
      </w:r>
      <w:r>
        <w:lastRenderedPageBreak/>
        <w:t xml:space="preserve">sendo contexto de menosprezo ou discriminação à condição de mulher, fora de relações pessoais, possui natureza subjetiva. </w:t>
      </w:r>
    </w:p>
    <w:p w:rsidR="005D65F2" w:rsidRDefault="005D65F2" w:rsidP="00D13D1E">
      <w:pPr>
        <w:pStyle w:val="FG11-resumo"/>
        <w:spacing w:line="360" w:lineRule="auto"/>
        <w:ind w:firstLine="709"/>
      </w:pPr>
      <w:r>
        <w:t>A importância de se classificar a mencionada qualificadora reside nas consequências ocasionadas em temas de direito penal e de processo penal, mas, principalmente, na consequência relacionada à quesitação do tribunal do júri.</w:t>
      </w:r>
    </w:p>
    <w:p w:rsidR="00090F2C" w:rsidRDefault="005D65F2" w:rsidP="00D13D1E">
      <w:pPr>
        <w:pStyle w:val="FG11-resumo"/>
        <w:spacing w:line="360" w:lineRule="auto"/>
        <w:ind w:firstLine="709"/>
      </w:pPr>
      <w:r>
        <w:t xml:space="preserve"> Em um júri acerca de um caso concreto de feminicídio, sendo considerada de natureza subjetiva, e com contexto de privilégio, se o quesito relacionado ao homicídio privilegiado for acatado, o último quesito, referente à qualificadora, restará prejudicado e sequer será formulado. Isso ocorre, pois, a qualificadora seria incompatível com o privilégio. </w:t>
      </w:r>
    </w:p>
    <w:p w:rsidR="005D65F2" w:rsidRDefault="005D65F2" w:rsidP="00D13D1E">
      <w:pPr>
        <w:pStyle w:val="FG11-resumo"/>
        <w:spacing w:line="360" w:lineRule="auto"/>
        <w:ind w:firstLine="709"/>
      </w:pPr>
      <w:r>
        <w:t xml:space="preserve">Por fim, a principal consequência, embora não tão evidente, de defender o caráter objetivo da qualificadora do feminicídio é evitar a concepção do uso do Direito Penal, como forma de manipulação política, que, a pretexto de se melhor tutelar a vida da mulher, criou-se uma lei tecnicamente falha, desnecessária e com dispositivos inconstitucionais. Desse modo, é subverter </w:t>
      </w:r>
      <w:r w:rsidR="00090F2C">
        <w:t>o</w:t>
      </w:r>
      <w:r>
        <w:t>s princípios da lei tutelar da mulher</w:t>
      </w:r>
      <w:r w:rsidR="00090F2C">
        <w:t xml:space="preserve"> </w:t>
      </w:r>
      <w:r>
        <w:t xml:space="preserve">tornando vão o esforço do legislador, pois a finalidade da lei foi conferir maior proteção </w:t>
      </w:r>
      <w:r w:rsidR="00090F2C">
        <w:t>às</w:t>
      </w:r>
      <w:r>
        <w:t xml:space="preserve"> </w:t>
      </w:r>
      <w:r w:rsidR="00090F2C">
        <w:t>mulheres brasileiras</w:t>
      </w:r>
      <w:r>
        <w:t xml:space="preserve">, e resgatar a sua dignidade. </w:t>
      </w:r>
    </w:p>
    <w:p w:rsidR="00D11CF9" w:rsidRDefault="00D11CF9" w:rsidP="00D13D1E">
      <w:pPr>
        <w:pStyle w:val="FG11-resumo"/>
        <w:spacing w:line="360" w:lineRule="auto"/>
        <w:ind w:firstLine="709"/>
      </w:pPr>
    </w:p>
    <w:p w:rsidR="00D11CF9" w:rsidRDefault="00D11CF9" w:rsidP="00D11CF9">
      <w:pPr>
        <w:pStyle w:val="FG11-resumo"/>
        <w:spacing w:line="360" w:lineRule="auto"/>
      </w:pPr>
      <w:r>
        <w:t>REFERÊNCIAS</w:t>
      </w:r>
    </w:p>
    <w:p w:rsidR="00D11CF9" w:rsidRDefault="00D11CF9" w:rsidP="00D11CF9">
      <w:pPr>
        <w:pStyle w:val="FG11-resumo"/>
        <w:spacing w:line="360" w:lineRule="auto"/>
      </w:pPr>
    </w:p>
    <w:p w:rsidR="005844FE" w:rsidRDefault="00D11CF9" w:rsidP="00D13D1E">
      <w:pPr>
        <w:pStyle w:val="FG11-resumo"/>
        <w:spacing w:line="360" w:lineRule="auto"/>
        <w:ind w:firstLine="709"/>
      </w:pPr>
      <w:r>
        <w:t xml:space="preserve">BARROS, Francisco Dirceu. Estudo completo do feminicídio. Disponível em: &lt; http://www.impetus.com.br/artigo/876/estudo-completo-do-feminicidio&gt;. </w:t>
      </w:r>
    </w:p>
    <w:p w:rsidR="00D11CF9" w:rsidRDefault="00D11CF9" w:rsidP="00D13D1E">
      <w:pPr>
        <w:pStyle w:val="FG11-resumo"/>
        <w:spacing w:line="360" w:lineRule="auto"/>
        <w:ind w:firstLine="709"/>
      </w:pPr>
      <w:r>
        <w:t xml:space="preserve">BARROS FILHO, José Nabuco. Feminicídio. Disponível em: &lt; http://www.usjt.br/revistadireito/numero-3/12-jose-nabuco-galvao-barros-filho.pdf&gt;. </w:t>
      </w:r>
    </w:p>
    <w:p w:rsidR="00D11CF9" w:rsidRDefault="00D11CF9" w:rsidP="00D13D1E">
      <w:pPr>
        <w:pStyle w:val="FG11-resumo"/>
        <w:spacing w:line="360" w:lineRule="auto"/>
        <w:ind w:firstLine="709"/>
      </w:pPr>
      <w:r>
        <w:t xml:space="preserve">BIANCHINI, Alice. A qualificadora do feminicídio é de natureza objetiva ou subjetiva?. Revista EMERJ. n. 72, v. 19, 2016. 203-219. </w:t>
      </w:r>
    </w:p>
    <w:p w:rsidR="00D11CF9" w:rsidRDefault="00D11CF9" w:rsidP="00D13D1E">
      <w:pPr>
        <w:pStyle w:val="FG11-resumo"/>
        <w:spacing w:line="360" w:lineRule="auto"/>
        <w:ind w:firstLine="709"/>
      </w:pPr>
      <w:r>
        <w:t xml:space="preserve">BITTENCOURT, Cezar Roberto. Homicídio discriminatório por razões de gênero. </w:t>
      </w:r>
    </w:p>
    <w:p w:rsidR="005D65F2" w:rsidRDefault="00D11CF9" w:rsidP="00D13D1E">
      <w:pPr>
        <w:pStyle w:val="FG11-resumo"/>
        <w:spacing w:line="360" w:lineRule="auto"/>
        <w:ind w:firstLine="709"/>
      </w:pPr>
      <w:r>
        <w:t xml:space="preserve">BONFIM, Edilson Mougenot. Curso de processo penal. 9 ed. São Paulo: </w:t>
      </w:r>
      <w:r w:rsidR="00726DAD">
        <w:t>Saraiva</w:t>
      </w:r>
      <w:r>
        <w:t xml:space="preserve"> 2014.</w:t>
      </w:r>
    </w:p>
    <w:p w:rsidR="00BB5023" w:rsidRDefault="00D11CF9" w:rsidP="00D13D1E">
      <w:pPr>
        <w:pStyle w:val="FG11-resumo"/>
        <w:spacing w:line="360" w:lineRule="auto"/>
        <w:ind w:firstLine="709"/>
      </w:pPr>
      <w:r>
        <w:t xml:space="preserve">BRASIL. Convenção Interamericana para Prevenir, Punir e Erradicar a Violência contra a Mulher: Convenção do Belém do Pará. Belém do Pará, 1994. </w:t>
      </w:r>
    </w:p>
    <w:p w:rsidR="00BB5023" w:rsidRDefault="00D11CF9" w:rsidP="00395076">
      <w:pPr>
        <w:pStyle w:val="FG11-resumo"/>
        <w:spacing w:line="360" w:lineRule="auto"/>
        <w:ind w:firstLine="709"/>
      </w:pPr>
      <w:r>
        <w:t xml:space="preserve">BRASIL. Lei no 11.340/06, de 7 de agosto de 2006. Cria mecanismos para coibir a violência doméstica e familiar contra a mulher, nos termos do § 8o do art. 226 </w:t>
      </w:r>
      <w:r>
        <w:lastRenderedPageBreak/>
        <w:t xml:space="preserve">da Constituição </w:t>
      </w:r>
      <w:r w:rsidR="00395076">
        <w:t xml:space="preserve">11.689/08, de 9 de junho de 2008. Altera dispositivos do Decreto-Lei nº 3.689, de 3 de outubro de 1941 - Código de Processo Penal, relativos ao Tribunal do Júri, e dá outras providências. </w:t>
      </w:r>
    </w:p>
    <w:p w:rsidR="00395076" w:rsidRDefault="00395076" w:rsidP="00395076">
      <w:pPr>
        <w:pStyle w:val="FG11-resumo"/>
        <w:spacing w:line="360" w:lineRule="auto"/>
        <w:ind w:firstLine="709"/>
      </w:pPr>
      <w:r>
        <w:t xml:space="preserve">BRASIL. Lei no 13.104/15, de 9 de março de 2015. Altera o art. 121 do Decreto-Lei no 2.848, de 7 de dezembro de 1940 - Código Penal, para prever o feminicídio como circunstância qualificadora do crime de homicídio, e o art. 1o da Lei no 8.072, de 25 de julho de 1990, para incluir o feminicídio no rol dos crimes hediondos. </w:t>
      </w:r>
    </w:p>
    <w:p w:rsidR="00682936" w:rsidRDefault="00395076" w:rsidP="00395076">
      <w:pPr>
        <w:pStyle w:val="FG11-resumo"/>
        <w:spacing w:line="360" w:lineRule="auto"/>
        <w:ind w:firstLine="709"/>
      </w:pPr>
      <w:r>
        <w:t xml:space="preserve">BRASIL. Projeto de Lei nº 292 de </w:t>
      </w:r>
      <w:r w:rsidR="00D11CF9">
        <w:t xml:space="preserve">Federal, da Convenção sobre a Eliminação de Todas as Formas de Discriminação contra as Mulheres e da Convenção Interamericana para Prevenir, Punir e Erradicar a Violência contra a Mulher; dispõe sobre a criação dos Juizados de Violência Doméstica e Familiar contra a Mulher; altera o Código de Processo Penal, o Código Penal e a Lei de Execução Penal; e dá outras providências. </w:t>
      </w:r>
      <w:r w:rsidR="00682936" w:rsidRPr="00682936">
        <w:t xml:space="preserve">BEAUVOIR, S. O segundo sexo – a </w:t>
      </w:r>
      <w:r w:rsidR="00726DAD" w:rsidRPr="00682936">
        <w:t>experiência</w:t>
      </w:r>
      <w:r w:rsidR="00682936" w:rsidRPr="00682936">
        <w:t xml:space="preserve"> vivida. (S. Milliet, Trad.). </w:t>
      </w:r>
      <w:r w:rsidR="00726DAD" w:rsidRPr="00682936">
        <w:t>São</w:t>
      </w:r>
      <w:r w:rsidR="00682936" w:rsidRPr="00682936">
        <w:t xml:space="preserve"> Paulo: </w:t>
      </w:r>
      <w:r w:rsidR="00726DAD" w:rsidRPr="00682936">
        <w:t>Difusão</w:t>
      </w:r>
      <w:r w:rsidR="00682936" w:rsidRPr="00682936">
        <w:t xml:space="preserve"> </w:t>
      </w:r>
      <w:r w:rsidR="00726DAD" w:rsidRPr="00682936">
        <w:t>Europeia</w:t>
      </w:r>
      <w:r w:rsidR="00682936" w:rsidRPr="00682936">
        <w:t xml:space="preserve"> do Livro, 1960.</w:t>
      </w:r>
    </w:p>
    <w:p w:rsidR="00BB5023" w:rsidRDefault="006A735F" w:rsidP="00D13D1E">
      <w:pPr>
        <w:pStyle w:val="FG11-resumo"/>
        <w:spacing w:line="360" w:lineRule="auto"/>
        <w:ind w:firstLine="709"/>
      </w:pPr>
      <w:r>
        <w:t>BUSATO, Paulo César. Homicídio mercenário e causas especiais de diminuição de pena. Um paradoxo</w:t>
      </w:r>
      <w:r w:rsidR="00E15997">
        <w:t xml:space="preserve"> dogmático. Cadernos do Júri, nº</w:t>
      </w:r>
      <w:r>
        <w:t xml:space="preserve"> 3, 2015, apud ZANELLA, Everton; FRIGGI, Márcio; ESCUDEIRO, Mar</w:t>
      </w:r>
      <w:r w:rsidR="00682936">
        <w:t>cio; AMARAL, Virgílio. Feminicíd</w:t>
      </w:r>
      <w:r>
        <w:t xml:space="preserve">io: considerações iniciais. Centro de Apoio Operacional Criminal do Ministério Público do Estado de São Paulo. São Paulo, 02 de junho de 2015. </w:t>
      </w:r>
    </w:p>
    <w:p w:rsidR="006A735F" w:rsidRDefault="006A735F" w:rsidP="00D13D1E">
      <w:pPr>
        <w:pStyle w:val="FG11-resumo"/>
        <w:spacing w:line="360" w:lineRule="auto"/>
        <w:ind w:firstLine="709"/>
      </w:pPr>
      <w:r>
        <w:t>CARDOSO, Rafhaella; MEDEIROS, Rafaela Vieira de. A natureza da qualificadora do feminicídio.</w:t>
      </w:r>
      <w:r w:rsidR="00682936">
        <w:t xml:space="preserve"> </w:t>
      </w:r>
      <w:r>
        <w:t>Disponível em: &lt; http://canalcienciascriminais.com.br/artigo/a-natureza-daqualificadora-do-feminicidio/&gt;</w:t>
      </w:r>
      <w:r w:rsidR="00BB5023">
        <w:t>.</w:t>
      </w:r>
    </w:p>
    <w:p w:rsidR="001A6569" w:rsidRDefault="006A735F" w:rsidP="001A6569">
      <w:pPr>
        <w:pStyle w:val="FG9corpodotexto"/>
      </w:pPr>
      <w:r>
        <w:t xml:space="preserve">CUNHA, Rogério </w:t>
      </w:r>
      <w:r w:rsidR="00726DAD">
        <w:t>Sanches</w:t>
      </w:r>
      <w:r>
        <w:t xml:space="preserve">. PINTO, Ronaldo Batista. Tribunal do Júri: Procedimento especial comentado por artigos. 1a Edição. Salvador: Juspodivm, 2015. </w:t>
      </w:r>
    </w:p>
    <w:p w:rsidR="006A735F" w:rsidRDefault="001A6569" w:rsidP="001A6569">
      <w:pPr>
        <w:pStyle w:val="FG9corpodotexto"/>
      </w:pPr>
      <w:r w:rsidRPr="001A6569">
        <w:t xml:space="preserve">Instituto Maria da Penha retirado em: http://www.institutomariadapenha.org.br  . </w:t>
      </w:r>
    </w:p>
    <w:p w:rsidR="0055676D" w:rsidRDefault="0055676D" w:rsidP="00D13D1E">
      <w:pPr>
        <w:pStyle w:val="FG11-resumo"/>
        <w:spacing w:line="360" w:lineRule="auto"/>
        <w:ind w:firstLine="709"/>
      </w:pPr>
      <w:r w:rsidRPr="0055676D">
        <w:t xml:space="preserve">LAGARDE Y DE LOS RIOS, Marcela. Por los </w:t>
      </w:r>
      <w:proofErr w:type="spellStart"/>
      <w:r w:rsidRPr="0055676D">
        <w:t>derechos</w:t>
      </w:r>
      <w:proofErr w:type="spellEnd"/>
      <w:r w:rsidRPr="0055676D">
        <w:t xml:space="preserve"> humanos de </w:t>
      </w:r>
      <w:proofErr w:type="spellStart"/>
      <w:r w:rsidRPr="0055676D">
        <w:t>las</w:t>
      </w:r>
      <w:proofErr w:type="spellEnd"/>
      <w:r w:rsidRPr="0055676D">
        <w:t xml:space="preserve"> </w:t>
      </w:r>
      <w:proofErr w:type="spellStart"/>
      <w:r w:rsidRPr="0055676D">
        <w:t>mujeres</w:t>
      </w:r>
      <w:proofErr w:type="spellEnd"/>
      <w:r w:rsidRPr="0055676D">
        <w:t xml:space="preserve">: </w:t>
      </w:r>
      <w:r w:rsidR="00726DAD" w:rsidRPr="0055676D">
        <w:t>La</w:t>
      </w:r>
      <w:r w:rsidRPr="0055676D">
        <w:t xml:space="preserve"> </w:t>
      </w:r>
      <w:proofErr w:type="spellStart"/>
      <w:r w:rsidRPr="0055676D">
        <w:t>Ley</w:t>
      </w:r>
      <w:proofErr w:type="spellEnd"/>
      <w:r w:rsidRPr="0055676D">
        <w:t xml:space="preserve"> General de Acceso de las Mujeres a una vida libre de violencia. Revista Mexicana de </w:t>
      </w:r>
      <w:r w:rsidR="00726DAD" w:rsidRPr="0055676D">
        <w:t>Ciências</w:t>
      </w:r>
      <w:r w:rsidRPr="0055676D">
        <w:t xml:space="preserve"> Políticas y Sociales, v. </w:t>
      </w:r>
      <w:r w:rsidR="00726DAD" w:rsidRPr="0055676D">
        <w:t>XLIX n.</w:t>
      </w:r>
      <w:r w:rsidRPr="0055676D">
        <w:t xml:space="preserve"> 200, p. 143-165, maio-ago, 2007. Disponível online: </w:t>
      </w:r>
      <w:r w:rsidR="00726DAD" w:rsidRPr="0055676D">
        <w:t>.</w:t>
      </w:r>
    </w:p>
    <w:p w:rsidR="00BB5023" w:rsidRDefault="0007761C" w:rsidP="00D13D1E">
      <w:pPr>
        <w:pStyle w:val="FG11-resumo"/>
        <w:spacing w:line="360" w:lineRule="auto"/>
        <w:ind w:firstLine="709"/>
      </w:pPr>
      <w:r w:rsidRPr="0007761C">
        <w:t xml:space="preserve">MACHADO, Marta Rodrigues de Assis. (org.). A violência doméstica fatal: o problema do feminicídio íntimo no Brasil. Diálogos sobre Justiça. Brasília, DF: Ministério da Justiça, 2015. </w:t>
      </w:r>
    </w:p>
    <w:p w:rsidR="006A735F" w:rsidRDefault="006A735F" w:rsidP="00D13D1E">
      <w:pPr>
        <w:pStyle w:val="FG11-resumo"/>
        <w:spacing w:line="360" w:lineRule="auto"/>
        <w:ind w:firstLine="709"/>
      </w:pPr>
      <w:r>
        <w:lastRenderedPageBreak/>
        <w:t xml:space="preserve">MASSON, Cleber. Direito penal esquematizado: parte especial – vol. 2. 6 a Edição. Rio de Janeiro: Forense, 2014. </w:t>
      </w:r>
    </w:p>
    <w:p w:rsidR="006A735F" w:rsidRDefault="006A735F" w:rsidP="00D13D1E">
      <w:pPr>
        <w:pStyle w:val="FG11-resumo"/>
        <w:spacing w:line="360" w:lineRule="auto"/>
        <w:ind w:firstLine="709"/>
      </w:pPr>
      <w:r>
        <w:t>NUCCI, Guilherme de Souza. Tribunal do Júri. 5a Edição. Rio de Janeiro: Forense, 2014.</w:t>
      </w:r>
    </w:p>
    <w:p w:rsidR="00BB5023" w:rsidRDefault="006A735F" w:rsidP="00BB5023">
      <w:pPr>
        <w:pStyle w:val="FG11-resumo"/>
        <w:spacing w:line="360" w:lineRule="auto"/>
        <w:ind w:firstLine="709"/>
      </w:pPr>
      <w:r>
        <w:t xml:space="preserve"> NUCCI, Guilherme de Souza. Tribunal do Júri. 6a Edição. São Paulo: Forense, 2015. </w:t>
      </w:r>
    </w:p>
    <w:p w:rsidR="001A6569" w:rsidRDefault="001A6569" w:rsidP="00BB5023">
      <w:pPr>
        <w:pStyle w:val="FG11-resumo"/>
        <w:spacing w:line="360" w:lineRule="auto"/>
        <w:ind w:firstLine="709"/>
      </w:pPr>
      <w:r w:rsidRPr="001A6569">
        <w:t>ONU: Taxa de feminicídios no Brasil é a quinta maior do mundo; diretrizes nacionais buscam solução. Disponível em: </w:t>
      </w:r>
      <w:r w:rsidRPr="00BB5023">
        <w:t>https://nacoesunidas.org/onu-feminicidio-brasil-quinto-maior-mundo-diretrizes-nacionais-buscam-solucao/</w:t>
      </w:r>
      <w:r w:rsidRPr="001A6569">
        <w:t xml:space="preserve">&gt; </w:t>
      </w:r>
    </w:p>
    <w:p w:rsidR="00C21F82" w:rsidRPr="001A6569" w:rsidRDefault="00C21F82" w:rsidP="00BB5023">
      <w:pPr>
        <w:pStyle w:val="FG11-resumo"/>
        <w:spacing w:line="360" w:lineRule="auto"/>
        <w:ind w:firstLine="709"/>
      </w:pPr>
      <w:r w:rsidRPr="00C21F82">
        <w:t>Saffioti, H.I.B. e Almeida, S.S.(1995) Violência de gênero: poder e impotência. Rio de Janeiro: Revinter. </w:t>
      </w:r>
    </w:p>
    <w:p w:rsidR="006A735F" w:rsidRDefault="006A735F" w:rsidP="00A1121D">
      <w:pPr>
        <w:pStyle w:val="FG9corpodotexto"/>
        <w:ind w:firstLine="0"/>
      </w:pPr>
    </w:p>
    <w:sectPr w:rsidR="006A735F" w:rsidSect="0000774D">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4870" w:rsidRDefault="00484870" w:rsidP="00FC71EA">
      <w:pPr>
        <w:spacing w:after="0" w:line="240" w:lineRule="auto"/>
      </w:pPr>
      <w:r>
        <w:separator/>
      </w:r>
    </w:p>
  </w:endnote>
  <w:endnote w:type="continuationSeparator" w:id="0">
    <w:p w:rsidR="00484870" w:rsidRDefault="00484870" w:rsidP="00FC71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ans">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4870" w:rsidRDefault="00484870" w:rsidP="00FC71EA">
      <w:pPr>
        <w:spacing w:after="0" w:line="240" w:lineRule="auto"/>
      </w:pPr>
      <w:r>
        <w:separator/>
      </w:r>
    </w:p>
  </w:footnote>
  <w:footnote w:type="continuationSeparator" w:id="0">
    <w:p w:rsidR="00484870" w:rsidRDefault="00484870" w:rsidP="00FC71EA">
      <w:pPr>
        <w:spacing w:after="0" w:line="240" w:lineRule="auto"/>
      </w:pPr>
      <w:r>
        <w:continuationSeparator/>
      </w:r>
    </w:p>
  </w:footnote>
  <w:footnote w:id="1">
    <w:p w:rsidR="00FC71EA" w:rsidRPr="00985BE5" w:rsidRDefault="00FC71EA" w:rsidP="00FC71EA">
      <w:pPr>
        <w:pStyle w:val="FG9notaderodape"/>
        <w:rPr>
          <w:sz w:val="22"/>
          <w:szCs w:val="22"/>
        </w:rPr>
      </w:pPr>
      <w:r w:rsidRPr="00985BE5">
        <w:rPr>
          <w:rStyle w:val="Caracteresdenotaderodap"/>
          <w:sz w:val="22"/>
          <w:szCs w:val="22"/>
        </w:rPr>
        <w:footnoteRef/>
      </w:r>
      <w:r w:rsidRPr="00985BE5">
        <w:rPr>
          <w:sz w:val="22"/>
          <w:szCs w:val="22"/>
        </w:rPr>
        <w:t xml:space="preserve">Aluno do Curso de Direito da Fundação de Ensino Eurípides Soares da Rocha, Marília, São Paulo; </w:t>
      </w:r>
    </w:p>
  </w:footnote>
  <w:footnote w:id="2">
    <w:p w:rsidR="00FC71EA" w:rsidRPr="00985BE5" w:rsidRDefault="00FC71EA" w:rsidP="00FC71EA">
      <w:pPr>
        <w:pStyle w:val="FG9notaderodape"/>
        <w:rPr>
          <w:sz w:val="22"/>
          <w:szCs w:val="22"/>
        </w:rPr>
      </w:pPr>
      <w:r w:rsidRPr="00985BE5">
        <w:rPr>
          <w:rStyle w:val="Caracteresdenotaderodap"/>
          <w:sz w:val="22"/>
          <w:szCs w:val="22"/>
        </w:rPr>
        <w:footnoteRef/>
      </w:r>
      <w:r w:rsidRPr="00985BE5">
        <w:rPr>
          <w:sz w:val="22"/>
          <w:szCs w:val="22"/>
        </w:rPr>
        <w:t>Professor</w:t>
      </w:r>
      <w:r>
        <w:rPr>
          <w:sz w:val="22"/>
          <w:szCs w:val="22"/>
        </w:rPr>
        <w:t xml:space="preserve"> </w:t>
      </w:r>
      <w:proofErr w:type="spellStart"/>
      <w:r>
        <w:rPr>
          <w:sz w:val="22"/>
          <w:szCs w:val="22"/>
        </w:rPr>
        <w:t>Ms</w:t>
      </w:r>
      <w:proofErr w:type="spellEnd"/>
      <w:r>
        <w:rPr>
          <w:sz w:val="22"/>
          <w:szCs w:val="22"/>
        </w:rPr>
        <w:t xml:space="preserve">/Dr. </w:t>
      </w:r>
      <w:r w:rsidRPr="00985BE5">
        <w:rPr>
          <w:sz w:val="22"/>
          <w:szCs w:val="22"/>
        </w:rPr>
        <w:t xml:space="preserve">do Curso de Direito da Fundação de Ensino Eurípides Soares da Rocha, Marília, São Paulo; </w:t>
      </w:r>
    </w:p>
    <w:p w:rsidR="00FC71EA" w:rsidRDefault="00FC71EA" w:rsidP="00FC71EA">
      <w:pPr>
        <w:pStyle w:val="FG9notaderodape"/>
      </w:pPr>
      <w:r>
        <w:rPr>
          <w:sz w:val="22"/>
          <w:szCs w:val="22"/>
        </w:rPr>
        <w:t xml:space="preserve">³ </w:t>
      </w:r>
      <w:r w:rsidRPr="00985BE5">
        <w:rPr>
          <w:sz w:val="22"/>
          <w:szCs w:val="22"/>
        </w:rPr>
        <w:t>Trabalho de Conclusão de Curso em Direito apresentado à Fundação de Ensino Eurípides Soares da Rocha,</w:t>
      </w:r>
      <w:r>
        <w:rPr>
          <w:sz w:val="22"/>
          <w:szCs w:val="22"/>
        </w:rPr>
        <w:t xml:space="preserve"> Mantenedora do Centro universitário Eurípides de Marília, para obtenção do grau de bacharel em Direito. </w:t>
      </w:r>
      <w:r>
        <w:tab/>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1EA"/>
    <w:rsid w:val="0000774D"/>
    <w:rsid w:val="00032B3A"/>
    <w:rsid w:val="00036428"/>
    <w:rsid w:val="0007761C"/>
    <w:rsid w:val="00084B2D"/>
    <w:rsid w:val="00090F2C"/>
    <w:rsid w:val="000C736C"/>
    <w:rsid w:val="00107BB2"/>
    <w:rsid w:val="00110163"/>
    <w:rsid w:val="00140545"/>
    <w:rsid w:val="00152107"/>
    <w:rsid w:val="00174368"/>
    <w:rsid w:val="00177223"/>
    <w:rsid w:val="001A6569"/>
    <w:rsid w:val="001D7844"/>
    <w:rsid w:val="001E1600"/>
    <w:rsid w:val="00214C57"/>
    <w:rsid w:val="00247CDB"/>
    <w:rsid w:val="00255428"/>
    <w:rsid w:val="00280448"/>
    <w:rsid w:val="00282C3F"/>
    <w:rsid w:val="00294428"/>
    <w:rsid w:val="002B5243"/>
    <w:rsid w:val="002C7617"/>
    <w:rsid w:val="002D2394"/>
    <w:rsid w:val="0035303D"/>
    <w:rsid w:val="00353DA9"/>
    <w:rsid w:val="0036001D"/>
    <w:rsid w:val="00395076"/>
    <w:rsid w:val="003D254F"/>
    <w:rsid w:val="00415B32"/>
    <w:rsid w:val="00447D47"/>
    <w:rsid w:val="004747AB"/>
    <w:rsid w:val="00484870"/>
    <w:rsid w:val="004D002E"/>
    <w:rsid w:val="005410A7"/>
    <w:rsid w:val="0055676D"/>
    <w:rsid w:val="005844FE"/>
    <w:rsid w:val="005955DA"/>
    <w:rsid w:val="005B409C"/>
    <w:rsid w:val="005B5A71"/>
    <w:rsid w:val="005D2623"/>
    <w:rsid w:val="005D65F2"/>
    <w:rsid w:val="00677713"/>
    <w:rsid w:val="00682936"/>
    <w:rsid w:val="006A735F"/>
    <w:rsid w:val="0071140A"/>
    <w:rsid w:val="00726DAD"/>
    <w:rsid w:val="00727D3A"/>
    <w:rsid w:val="007842DD"/>
    <w:rsid w:val="007F168A"/>
    <w:rsid w:val="00822969"/>
    <w:rsid w:val="00873528"/>
    <w:rsid w:val="008B739C"/>
    <w:rsid w:val="008D1C30"/>
    <w:rsid w:val="008D67AA"/>
    <w:rsid w:val="00911A1E"/>
    <w:rsid w:val="00925C72"/>
    <w:rsid w:val="00931146"/>
    <w:rsid w:val="009321AC"/>
    <w:rsid w:val="0095742D"/>
    <w:rsid w:val="00990C8E"/>
    <w:rsid w:val="00A1121D"/>
    <w:rsid w:val="00A119E3"/>
    <w:rsid w:val="00A17F47"/>
    <w:rsid w:val="00A32428"/>
    <w:rsid w:val="00A42F1A"/>
    <w:rsid w:val="00AD248A"/>
    <w:rsid w:val="00AE7F34"/>
    <w:rsid w:val="00B005D7"/>
    <w:rsid w:val="00B07B30"/>
    <w:rsid w:val="00B15330"/>
    <w:rsid w:val="00B16C45"/>
    <w:rsid w:val="00B2190E"/>
    <w:rsid w:val="00BB5023"/>
    <w:rsid w:val="00BB51E2"/>
    <w:rsid w:val="00BC244A"/>
    <w:rsid w:val="00BF317D"/>
    <w:rsid w:val="00C21F82"/>
    <w:rsid w:val="00C56016"/>
    <w:rsid w:val="00D02DB4"/>
    <w:rsid w:val="00D11CF9"/>
    <w:rsid w:val="00D135C1"/>
    <w:rsid w:val="00D13D1E"/>
    <w:rsid w:val="00D23FA4"/>
    <w:rsid w:val="00D51307"/>
    <w:rsid w:val="00D84115"/>
    <w:rsid w:val="00DA5A6A"/>
    <w:rsid w:val="00DB0D23"/>
    <w:rsid w:val="00DD07CC"/>
    <w:rsid w:val="00E15997"/>
    <w:rsid w:val="00E61EF4"/>
    <w:rsid w:val="00EF1A32"/>
    <w:rsid w:val="00F657DD"/>
    <w:rsid w:val="00F84399"/>
    <w:rsid w:val="00F85D1E"/>
    <w:rsid w:val="00FB3F14"/>
    <w:rsid w:val="00FC71E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499C820-27F1-443F-A1E7-917837FD7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71EA"/>
    <w:rPr>
      <w:rFonts w:ascii="Calibri" w:eastAsia="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racteresdenotaderodap">
    <w:name w:val="Caracteres de nota de rodapé"/>
    <w:rsid w:val="00FC71EA"/>
    <w:rPr>
      <w:vertAlign w:val="superscript"/>
    </w:rPr>
  </w:style>
  <w:style w:type="paragraph" w:customStyle="1" w:styleId="FG9autor">
    <w:name w:val="FG9_autor"/>
    <w:basedOn w:val="Normal"/>
    <w:link w:val="FG9autorChar"/>
    <w:rsid w:val="00FC71EA"/>
    <w:pPr>
      <w:suppressAutoHyphens/>
      <w:spacing w:after="0" w:line="240" w:lineRule="auto"/>
      <w:jc w:val="right"/>
    </w:pPr>
    <w:rPr>
      <w:rFonts w:ascii="Times New Roman" w:hAnsi="Times New Roman"/>
      <w:sz w:val="24"/>
      <w:szCs w:val="20"/>
      <w:lang w:eastAsia="ar-SA"/>
    </w:rPr>
  </w:style>
  <w:style w:type="paragraph" w:customStyle="1" w:styleId="FG9notaderodape">
    <w:name w:val="FG9nota_de_rodape"/>
    <w:basedOn w:val="Textodenotaderodap"/>
    <w:rsid w:val="00FC71EA"/>
    <w:pPr>
      <w:suppressAutoHyphens/>
      <w:jc w:val="both"/>
    </w:pPr>
    <w:rPr>
      <w:rFonts w:ascii="Times New Roman" w:hAnsi="Times New Roman" w:cs="Calibri"/>
      <w:lang w:eastAsia="ar-SA"/>
    </w:rPr>
  </w:style>
  <w:style w:type="paragraph" w:customStyle="1" w:styleId="FG11-titulo1">
    <w:name w:val="FG11-titulo1"/>
    <w:basedOn w:val="Normal"/>
    <w:link w:val="FG11-titulo1Char"/>
    <w:qFormat/>
    <w:rsid w:val="00FC71EA"/>
    <w:pPr>
      <w:suppressAutoHyphens/>
      <w:jc w:val="center"/>
    </w:pPr>
    <w:rPr>
      <w:rFonts w:ascii="Times New Roman" w:hAnsi="Times New Roman"/>
      <w:b/>
      <w:caps/>
      <w:sz w:val="28"/>
      <w:szCs w:val="20"/>
      <w:lang w:eastAsia="ar-SA"/>
    </w:rPr>
  </w:style>
  <w:style w:type="paragraph" w:customStyle="1" w:styleId="FG11-autoria">
    <w:name w:val="FG11-autoria"/>
    <w:basedOn w:val="FG9autor"/>
    <w:link w:val="FG11-autoriaChar"/>
    <w:qFormat/>
    <w:rsid w:val="00FC71EA"/>
  </w:style>
  <w:style w:type="character" w:customStyle="1" w:styleId="FG11-titulo1Char">
    <w:name w:val="FG11-titulo1 Char"/>
    <w:link w:val="FG11-titulo1"/>
    <w:rsid w:val="00FC71EA"/>
    <w:rPr>
      <w:rFonts w:ascii="Times New Roman" w:eastAsia="Calibri" w:hAnsi="Times New Roman" w:cs="Times New Roman"/>
      <w:b/>
      <w:caps/>
      <w:sz w:val="28"/>
      <w:szCs w:val="20"/>
      <w:lang w:eastAsia="ar-SA"/>
    </w:rPr>
  </w:style>
  <w:style w:type="paragraph" w:customStyle="1" w:styleId="FG11-resumo">
    <w:name w:val="FG11-resumo"/>
    <w:basedOn w:val="FG9autor"/>
    <w:link w:val="FG11-resumoChar"/>
    <w:qFormat/>
    <w:rsid w:val="00FC71EA"/>
    <w:pPr>
      <w:jc w:val="both"/>
    </w:pPr>
  </w:style>
  <w:style w:type="character" w:customStyle="1" w:styleId="FG9autorChar">
    <w:name w:val="FG9_autor Char"/>
    <w:link w:val="FG9autor"/>
    <w:rsid w:val="00FC71EA"/>
    <w:rPr>
      <w:rFonts w:ascii="Times New Roman" w:eastAsia="Calibri" w:hAnsi="Times New Roman" w:cs="Times New Roman"/>
      <w:sz w:val="24"/>
      <w:szCs w:val="20"/>
      <w:lang w:eastAsia="ar-SA"/>
    </w:rPr>
  </w:style>
  <w:style w:type="character" w:customStyle="1" w:styleId="FG11-autoriaChar">
    <w:name w:val="FG11-autoria Char"/>
    <w:link w:val="FG11-autoria"/>
    <w:rsid w:val="00FC71EA"/>
    <w:rPr>
      <w:rFonts w:ascii="Times New Roman" w:eastAsia="Calibri" w:hAnsi="Times New Roman" w:cs="Times New Roman"/>
      <w:sz w:val="24"/>
      <w:szCs w:val="20"/>
      <w:lang w:eastAsia="ar-SA"/>
    </w:rPr>
  </w:style>
  <w:style w:type="character" w:customStyle="1" w:styleId="FG11-resumoChar">
    <w:name w:val="FG11-resumo Char"/>
    <w:link w:val="FG11-resumo"/>
    <w:rsid w:val="00FC71EA"/>
    <w:rPr>
      <w:rFonts w:ascii="Times New Roman" w:eastAsia="Calibri" w:hAnsi="Times New Roman" w:cs="Times New Roman"/>
      <w:sz w:val="24"/>
      <w:szCs w:val="20"/>
      <w:lang w:eastAsia="ar-SA"/>
    </w:rPr>
  </w:style>
  <w:style w:type="paragraph" w:customStyle="1" w:styleId="FG11-corpo-do-texto">
    <w:name w:val="FG11-corpo-do-texto"/>
    <w:basedOn w:val="Normal"/>
    <w:link w:val="FG11-corpo-do-textoChar"/>
    <w:qFormat/>
    <w:rsid w:val="00FC71EA"/>
    <w:pPr>
      <w:suppressAutoHyphens/>
      <w:spacing w:after="0" w:line="360" w:lineRule="auto"/>
      <w:ind w:firstLine="709"/>
      <w:jc w:val="both"/>
    </w:pPr>
    <w:rPr>
      <w:rFonts w:ascii="Times New Roman" w:hAnsi="Times New Roman"/>
      <w:sz w:val="24"/>
      <w:szCs w:val="20"/>
      <w:lang w:eastAsia="ar-SA"/>
    </w:rPr>
  </w:style>
  <w:style w:type="character" w:customStyle="1" w:styleId="FG11-corpo-do-textoChar">
    <w:name w:val="FG11-corpo-do-texto Char"/>
    <w:link w:val="FG11-corpo-do-texto"/>
    <w:rsid w:val="00FC71EA"/>
    <w:rPr>
      <w:rFonts w:ascii="Times New Roman" w:eastAsia="Calibri" w:hAnsi="Times New Roman" w:cs="Times New Roman"/>
      <w:sz w:val="24"/>
      <w:szCs w:val="20"/>
      <w:lang w:eastAsia="ar-SA"/>
    </w:rPr>
  </w:style>
  <w:style w:type="paragraph" w:customStyle="1" w:styleId="FG9corpodotexto">
    <w:name w:val="FG9corpo_do_texto"/>
    <w:basedOn w:val="Normal"/>
    <w:link w:val="FG9corpodotextoChar"/>
    <w:rsid w:val="00FC71EA"/>
    <w:pPr>
      <w:suppressAutoHyphens/>
      <w:spacing w:after="0" w:line="360" w:lineRule="auto"/>
      <w:ind w:firstLine="709"/>
      <w:jc w:val="both"/>
    </w:pPr>
    <w:rPr>
      <w:rFonts w:ascii="Times New Roman" w:hAnsi="Times New Roman"/>
      <w:sz w:val="24"/>
      <w:szCs w:val="20"/>
      <w:lang w:eastAsia="ar-SA"/>
    </w:rPr>
  </w:style>
  <w:style w:type="character" w:customStyle="1" w:styleId="FG9corpodotextoChar">
    <w:name w:val="FG9corpo_do_texto Char"/>
    <w:link w:val="FG9corpodotexto"/>
    <w:rsid w:val="00FC71EA"/>
    <w:rPr>
      <w:rFonts w:ascii="Times New Roman" w:eastAsia="Calibri" w:hAnsi="Times New Roman" w:cs="Times New Roman"/>
      <w:sz w:val="24"/>
      <w:szCs w:val="20"/>
      <w:lang w:eastAsia="ar-SA"/>
    </w:rPr>
  </w:style>
  <w:style w:type="paragraph" w:customStyle="1" w:styleId="FG11-titulo2">
    <w:name w:val="FG11-titulo2"/>
    <w:basedOn w:val="Normal"/>
    <w:link w:val="FG11-titulo2Char"/>
    <w:qFormat/>
    <w:rsid w:val="00FC71EA"/>
    <w:pPr>
      <w:suppressAutoHyphens/>
      <w:spacing w:before="360" w:line="360" w:lineRule="auto"/>
    </w:pPr>
    <w:rPr>
      <w:rFonts w:ascii="Times New Roman" w:hAnsi="Times New Roman"/>
      <w:b/>
      <w:i/>
      <w:sz w:val="24"/>
      <w:szCs w:val="20"/>
      <w:lang w:eastAsia="ar-SA"/>
    </w:rPr>
  </w:style>
  <w:style w:type="character" w:customStyle="1" w:styleId="FG11-titulo2Char">
    <w:name w:val="FG11-titulo2 Char"/>
    <w:link w:val="FG11-titulo2"/>
    <w:rsid w:val="00FC71EA"/>
    <w:rPr>
      <w:rFonts w:ascii="Times New Roman" w:eastAsia="Calibri" w:hAnsi="Times New Roman" w:cs="Times New Roman"/>
      <w:b/>
      <w:i/>
      <w:sz w:val="24"/>
      <w:szCs w:val="20"/>
      <w:lang w:eastAsia="ar-SA"/>
    </w:rPr>
  </w:style>
  <w:style w:type="paragraph" w:customStyle="1" w:styleId="Default">
    <w:name w:val="Default"/>
    <w:rsid w:val="00FC71E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Textodenotaderodap">
    <w:name w:val="footnote text"/>
    <w:basedOn w:val="Normal"/>
    <w:link w:val="TextodenotaderodapChar"/>
    <w:uiPriority w:val="99"/>
    <w:semiHidden/>
    <w:unhideWhenUsed/>
    <w:rsid w:val="00FC71EA"/>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FC71EA"/>
    <w:rPr>
      <w:rFonts w:ascii="Calibri" w:eastAsia="Calibri" w:hAnsi="Calibri" w:cs="Times New Roman"/>
      <w:sz w:val="20"/>
      <w:szCs w:val="20"/>
    </w:rPr>
  </w:style>
  <w:style w:type="paragraph" w:customStyle="1" w:styleId="FG11-citacao-longa">
    <w:name w:val="FG11-citacao-longa"/>
    <w:basedOn w:val="Normal"/>
    <w:link w:val="FG11-citacao-longaChar"/>
    <w:qFormat/>
    <w:rsid w:val="009321AC"/>
    <w:pPr>
      <w:suppressAutoHyphens/>
      <w:spacing w:after="0" w:line="240" w:lineRule="auto"/>
      <w:ind w:left="2268"/>
      <w:jc w:val="both"/>
    </w:pPr>
    <w:rPr>
      <w:rFonts w:ascii="Times New Roman" w:hAnsi="Times New Roman"/>
      <w:sz w:val="20"/>
      <w:szCs w:val="20"/>
      <w:lang w:eastAsia="ar-SA"/>
    </w:rPr>
  </w:style>
  <w:style w:type="character" w:customStyle="1" w:styleId="FG11-citacao-longaChar">
    <w:name w:val="FG11-citacao-longa Char"/>
    <w:link w:val="FG11-citacao-longa"/>
    <w:rsid w:val="009321AC"/>
    <w:rPr>
      <w:rFonts w:ascii="Times New Roman" w:eastAsia="Calibri" w:hAnsi="Times New Roman" w:cs="Times New Roman"/>
      <w:sz w:val="20"/>
      <w:szCs w:val="20"/>
      <w:lang w:eastAsia="ar-SA"/>
    </w:rPr>
  </w:style>
  <w:style w:type="character" w:styleId="Hyperlink">
    <w:name w:val="Hyperlink"/>
    <w:basedOn w:val="Fontepargpadro"/>
    <w:uiPriority w:val="99"/>
    <w:unhideWhenUsed/>
    <w:rsid w:val="001A656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8476190">
      <w:bodyDiv w:val="1"/>
      <w:marLeft w:val="0"/>
      <w:marRight w:val="0"/>
      <w:marTop w:val="0"/>
      <w:marBottom w:val="0"/>
      <w:divBdr>
        <w:top w:val="none" w:sz="0" w:space="0" w:color="auto"/>
        <w:left w:val="none" w:sz="0" w:space="0" w:color="auto"/>
        <w:bottom w:val="none" w:sz="0" w:space="0" w:color="auto"/>
        <w:right w:val="none" w:sz="0" w:space="0" w:color="auto"/>
      </w:divBdr>
    </w:div>
    <w:div w:id="937375438">
      <w:bodyDiv w:val="1"/>
      <w:marLeft w:val="0"/>
      <w:marRight w:val="0"/>
      <w:marTop w:val="0"/>
      <w:marBottom w:val="0"/>
      <w:divBdr>
        <w:top w:val="none" w:sz="0" w:space="0" w:color="auto"/>
        <w:left w:val="none" w:sz="0" w:space="0" w:color="auto"/>
        <w:bottom w:val="none" w:sz="0" w:space="0" w:color="auto"/>
        <w:right w:val="none" w:sz="0" w:space="0" w:color="auto"/>
      </w:divBdr>
    </w:div>
    <w:div w:id="1080639401">
      <w:bodyDiv w:val="1"/>
      <w:marLeft w:val="0"/>
      <w:marRight w:val="0"/>
      <w:marTop w:val="0"/>
      <w:marBottom w:val="0"/>
      <w:divBdr>
        <w:top w:val="none" w:sz="0" w:space="0" w:color="auto"/>
        <w:left w:val="none" w:sz="0" w:space="0" w:color="auto"/>
        <w:bottom w:val="none" w:sz="0" w:space="0" w:color="auto"/>
        <w:right w:val="none" w:sz="0" w:space="0" w:color="auto"/>
      </w:divBdr>
    </w:div>
    <w:div w:id="1439833415">
      <w:bodyDiv w:val="1"/>
      <w:marLeft w:val="0"/>
      <w:marRight w:val="0"/>
      <w:marTop w:val="0"/>
      <w:marBottom w:val="0"/>
      <w:divBdr>
        <w:top w:val="none" w:sz="0" w:space="0" w:color="auto"/>
        <w:left w:val="none" w:sz="0" w:space="0" w:color="auto"/>
        <w:bottom w:val="none" w:sz="0" w:space="0" w:color="auto"/>
        <w:right w:val="none" w:sz="0" w:space="0" w:color="auto"/>
      </w:divBdr>
    </w:div>
    <w:div w:id="1792357986">
      <w:bodyDiv w:val="1"/>
      <w:marLeft w:val="0"/>
      <w:marRight w:val="0"/>
      <w:marTop w:val="0"/>
      <w:marBottom w:val="0"/>
      <w:divBdr>
        <w:top w:val="none" w:sz="0" w:space="0" w:color="auto"/>
        <w:left w:val="none" w:sz="0" w:space="0" w:color="auto"/>
        <w:bottom w:val="none" w:sz="0" w:space="0" w:color="auto"/>
        <w:right w:val="none" w:sz="0" w:space="0" w:color="auto"/>
      </w:divBdr>
    </w:div>
    <w:div w:id="1985424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6791</Words>
  <Characters>36674</Characters>
  <Application>Microsoft Office Word</Application>
  <DocSecurity>0</DocSecurity>
  <Lines>305</Lines>
  <Paragraphs>86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GABRIELA</dc:creator>
  <cp:lastModifiedBy>User</cp:lastModifiedBy>
  <cp:revision>2</cp:revision>
  <dcterms:created xsi:type="dcterms:W3CDTF">2021-09-25T16:33:00Z</dcterms:created>
  <dcterms:modified xsi:type="dcterms:W3CDTF">2021-09-25T16:33:00Z</dcterms:modified>
</cp:coreProperties>
</file>